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01" w:rsidRPr="00C936D3" w:rsidRDefault="00D40183" w:rsidP="00C969F1">
      <w:pPr>
        <w:spacing w:line="480" w:lineRule="auto"/>
        <w:ind w:left="360"/>
        <w:contextualSpacing/>
        <w:jc w:val="center"/>
        <w:rPr>
          <w:rFonts w:ascii="Times New Roman" w:hAnsi="Times New Roman"/>
          <w:sz w:val="24"/>
          <w:szCs w:val="24"/>
        </w:rPr>
      </w:pPr>
      <w:r>
        <w:rPr>
          <w:rFonts w:ascii="Times New Roman" w:hAnsi="Times New Roman"/>
          <w:sz w:val="24"/>
          <w:szCs w:val="24"/>
        </w:rPr>
        <w:t xml:space="preserve">Case Study </w:t>
      </w:r>
    </w:p>
    <w:p w:rsidR="00603E01" w:rsidRPr="00C936D3" w:rsidRDefault="00603E01" w:rsidP="00C969F1">
      <w:pPr>
        <w:spacing w:line="480" w:lineRule="auto"/>
        <w:ind w:left="360"/>
        <w:contextualSpacing/>
        <w:jc w:val="center"/>
        <w:rPr>
          <w:rFonts w:ascii="Times New Roman" w:hAnsi="Times New Roman"/>
          <w:sz w:val="24"/>
          <w:szCs w:val="24"/>
        </w:rPr>
      </w:pPr>
    </w:p>
    <w:p w:rsidR="00603E01" w:rsidRPr="00C936D3" w:rsidRDefault="00603E01" w:rsidP="00C969F1">
      <w:pPr>
        <w:spacing w:line="480" w:lineRule="auto"/>
        <w:contextualSpacing/>
        <w:rPr>
          <w:rFonts w:ascii="Times New Roman" w:hAnsi="Times New Roman"/>
          <w:sz w:val="24"/>
          <w:szCs w:val="24"/>
        </w:rPr>
      </w:pPr>
    </w:p>
    <w:p w:rsidR="00603E01" w:rsidRPr="00C936D3" w:rsidRDefault="00D40183" w:rsidP="00C969F1">
      <w:pPr>
        <w:spacing w:line="480" w:lineRule="auto"/>
        <w:ind w:left="360"/>
        <w:contextualSpacing/>
        <w:jc w:val="center"/>
        <w:rPr>
          <w:rFonts w:ascii="Times New Roman" w:hAnsi="Times New Roman"/>
          <w:sz w:val="24"/>
          <w:szCs w:val="24"/>
        </w:rPr>
      </w:pPr>
      <w:r w:rsidRPr="00C936D3">
        <w:rPr>
          <w:rFonts w:ascii="Times New Roman" w:hAnsi="Times New Roman"/>
          <w:sz w:val="24"/>
          <w:szCs w:val="24"/>
        </w:rPr>
        <w:t xml:space="preserve">by </w:t>
      </w:r>
    </w:p>
    <w:p w:rsidR="00603E01" w:rsidRPr="00C936D3" w:rsidRDefault="00603E01" w:rsidP="00C969F1">
      <w:pPr>
        <w:spacing w:line="480" w:lineRule="auto"/>
        <w:ind w:left="360"/>
        <w:contextualSpacing/>
        <w:jc w:val="center"/>
        <w:rPr>
          <w:rFonts w:ascii="Times New Roman" w:hAnsi="Times New Roman"/>
          <w:sz w:val="24"/>
          <w:szCs w:val="24"/>
        </w:rPr>
      </w:pPr>
    </w:p>
    <w:p w:rsidR="00603E01" w:rsidRPr="00C936D3" w:rsidRDefault="00603E01" w:rsidP="00C969F1">
      <w:pPr>
        <w:spacing w:line="480" w:lineRule="auto"/>
        <w:contextualSpacing/>
        <w:rPr>
          <w:rFonts w:ascii="Times New Roman" w:hAnsi="Times New Roman"/>
          <w:sz w:val="24"/>
          <w:szCs w:val="24"/>
        </w:rPr>
      </w:pPr>
    </w:p>
    <w:p w:rsidR="00603E01" w:rsidRPr="00C936D3" w:rsidRDefault="00603E01" w:rsidP="00C969F1">
      <w:pPr>
        <w:spacing w:line="480" w:lineRule="auto"/>
        <w:ind w:left="360"/>
        <w:contextualSpacing/>
        <w:jc w:val="center"/>
        <w:rPr>
          <w:rFonts w:ascii="Times New Roman" w:hAnsi="Times New Roman"/>
          <w:sz w:val="24"/>
          <w:szCs w:val="24"/>
        </w:rPr>
      </w:pPr>
    </w:p>
    <w:p w:rsidR="00603E01" w:rsidRPr="00C936D3" w:rsidRDefault="00D40183" w:rsidP="00C969F1">
      <w:pPr>
        <w:spacing w:line="480" w:lineRule="auto"/>
        <w:ind w:left="360"/>
        <w:contextualSpacing/>
        <w:jc w:val="center"/>
        <w:rPr>
          <w:rFonts w:ascii="Times New Roman" w:hAnsi="Times New Roman"/>
          <w:sz w:val="24"/>
          <w:szCs w:val="24"/>
        </w:rPr>
      </w:pPr>
      <w:r w:rsidRPr="00C936D3">
        <w:rPr>
          <w:rFonts w:ascii="Times New Roman" w:hAnsi="Times New Roman"/>
          <w:sz w:val="24"/>
          <w:szCs w:val="24"/>
        </w:rPr>
        <w:t>Course Name:</w:t>
      </w:r>
    </w:p>
    <w:p w:rsidR="00603E01" w:rsidRPr="00C936D3" w:rsidRDefault="00D40183" w:rsidP="00C969F1">
      <w:pPr>
        <w:spacing w:line="480" w:lineRule="auto"/>
        <w:ind w:left="360"/>
        <w:contextualSpacing/>
        <w:jc w:val="center"/>
        <w:rPr>
          <w:rFonts w:ascii="Times New Roman" w:hAnsi="Times New Roman"/>
          <w:sz w:val="24"/>
          <w:szCs w:val="24"/>
        </w:rPr>
      </w:pPr>
      <w:r w:rsidRPr="00C936D3">
        <w:rPr>
          <w:rFonts w:ascii="Times New Roman" w:hAnsi="Times New Roman"/>
          <w:sz w:val="24"/>
          <w:szCs w:val="24"/>
        </w:rPr>
        <w:t>Instructor:</w:t>
      </w:r>
    </w:p>
    <w:p w:rsidR="00603E01" w:rsidRPr="00C936D3" w:rsidRDefault="00D40183" w:rsidP="00C969F1">
      <w:pPr>
        <w:spacing w:line="480" w:lineRule="auto"/>
        <w:ind w:left="360"/>
        <w:contextualSpacing/>
        <w:jc w:val="center"/>
        <w:rPr>
          <w:rFonts w:ascii="Times New Roman" w:hAnsi="Times New Roman"/>
          <w:sz w:val="24"/>
          <w:szCs w:val="24"/>
        </w:rPr>
      </w:pPr>
      <w:r w:rsidRPr="00C936D3">
        <w:rPr>
          <w:rFonts w:ascii="Times New Roman" w:hAnsi="Times New Roman"/>
          <w:sz w:val="24"/>
          <w:szCs w:val="24"/>
        </w:rPr>
        <w:t>Institution’s Name:</w:t>
      </w:r>
    </w:p>
    <w:p w:rsidR="00603E01" w:rsidRPr="00C936D3" w:rsidRDefault="00603E01" w:rsidP="00C969F1">
      <w:pPr>
        <w:spacing w:line="480" w:lineRule="auto"/>
        <w:ind w:left="360"/>
        <w:contextualSpacing/>
        <w:jc w:val="center"/>
        <w:rPr>
          <w:rFonts w:ascii="Times New Roman" w:hAnsi="Times New Roman"/>
          <w:sz w:val="24"/>
          <w:szCs w:val="24"/>
        </w:rPr>
      </w:pPr>
    </w:p>
    <w:p w:rsidR="00603E01" w:rsidRPr="00C936D3" w:rsidRDefault="00603E01" w:rsidP="00C969F1">
      <w:pPr>
        <w:spacing w:line="480" w:lineRule="auto"/>
        <w:ind w:left="360"/>
        <w:contextualSpacing/>
        <w:jc w:val="center"/>
        <w:rPr>
          <w:rFonts w:ascii="Times New Roman" w:hAnsi="Times New Roman"/>
          <w:sz w:val="24"/>
          <w:szCs w:val="24"/>
        </w:rPr>
      </w:pPr>
    </w:p>
    <w:p w:rsidR="00603E01" w:rsidRPr="00C936D3" w:rsidRDefault="00603E01" w:rsidP="00C969F1">
      <w:pPr>
        <w:spacing w:line="480" w:lineRule="auto"/>
        <w:ind w:left="360"/>
        <w:contextualSpacing/>
        <w:jc w:val="center"/>
        <w:rPr>
          <w:rFonts w:ascii="Times New Roman" w:hAnsi="Times New Roman"/>
          <w:sz w:val="24"/>
          <w:szCs w:val="24"/>
        </w:rPr>
      </w:pPr>
    </w:p>
    <w:p w:rsidR="00603E01" w:rsidRPr="00C936D3" w:rsidRDefault="00603E01" w:rsidP="00C969F1">
      <w:pPr>
        <w:spacing w:line="480" w:lineRule="auto"/>
        <w:ind w:left="360"/>
        <w:contextualSpacing/>
        <w:jc w:val="center"/>
        <w:rPr>
          <w:rFonts w:ascii="Times New Roman" w:hAnsi="Times New Roman"/>
          <w:sz w:val="24"/>
          <w:szCs w:val="24"/>
        </w:rPr>
      </w:pPr>
    </w:p>
    <w:p w:rsidR="00603E01" w:rsidRPr="00C936D3" w:rsidRDefault="00603E01" w:rsidP="00C969F1">
      <w:pPr>
        <w:spacing w:line="480" w:lineRule="auto"/>
        <w:ind w:left="360"/>
        <w:contextualSpacing/>
        <w:jc w:val="center"/>
        <w:rPr>
          <w:rFonts w:ascii="Times New Roman" w:hAnsi="Times New Roman"/>
          <w:sz w:val="24"/>
          <w:szCs w:val="24"/>
        </w:rPr>
      </w:pPr>
    </w:p>
    <w:p w:rsidR="00603E01" w:rsidRPr="00C936D3" w:rsidRDefault="00603E01" w:rsidP="00C969F1">
      <w:pPr>
        <w:spacing w:line="480" w:lineRule="auto"/>
        <w:ind w:left="360"/>
        <w:contextualSpacing/>
        <w:jc w:val="center"/>
        <w:rPr>
          <w:rFonts w:ascii="Times New Roman" w:hAnsi="Times New Roman"/>
          <w:sz w:val="24"/>
          <w:szCs w:val="24"/>
        </w:rPr>
      </w:pPr>
    </w:p>
    <w:p w:rsidR="00603E01" w:rsidRPr="00C936D3" w:rsidRDefault="00603E01" w:rsidP="00C969F1">
      <w:pPr>
        <w:spacing w:line="480" w:lineRule="auto"/>
        <w:ind w:left="360"/>
        <w:contextualSpacing/>
        <w:jc w:val="center"/>
        <w:rPr>
          <w:rFonts w:ascii="Times New Roman" w:hAnsi="Times New Roman"/>
          <w:sz w:val="24"/>
          <w:szCs w:val="24"/>
        </w:rPr>
      </w:pPr>
    </w:p>
    <w:p w:rsidR="00603E01" w:rsidRPr="00C936D3" w:rsidRDefault="00D40183" w:rsidP="00C969F1">
      <w:pPr>
        <w:spacing w:line="480" w:lineRule="auto"/>
        <w:ind w:left="360"/>
        <w:contextualSpacing/>
        <w:jc w:val="center"/>
        <w:rPr>
          <w:rFonts w:ascii="Times New Roman" w:hAnsi="Times New Roman"/>
          <w:sz w:val="24"/>
          <w:szCs w:val="24"/>
        </w:rPr>
      </w:pPr>
      <w:r w:rsidRPr="00C936D3">
        <w:rPr>
          <w:rFonts w:ascii="Times New Roman" w:hAnsi="Times New Roman"/>
          <w:sz w:val="24"/>
          <w:szCs w:val="24"/>
        </w:rPr>
        <w:t>Date:</w:t>
      </w:r>
    </w:p>
    <w:p w:rsidR="00603E01" w:rsidRPr="00396BAB" w:rsidRDefault="00603E01" w:rsidP="00C969F1">
      <w:pPr>
        <w:spacing w:line="480" w:lineRule="auto"/>
        <w:contextualSpacing/>
        <w:jc w:val="center"/>
        <w:rPr>
          <w:rFonts w:ascii="Times New Roman" w:hAnsi="Times New Roman"/>
          <w:sz w:val="24"/>
          <w:szCs w:val="24"/>
        </w:rPr>
      </w:pPr>
    </w:p>
    <w:p w:rsidR="00603E01" w:rsidRDefault="00603E01" w:rsidP="00C969F1">
      <w:pPr>
        <w:spacing w:line="480" w:lineRule="auto"/>
        <w:contextualSpacing/>
        <w:jc w:val="center"/>
        <w:rPr>
          <w:rFonts w:ascii="Times New Roman" w:hAnsi="Times New Roman"/>
          <w:sz w:val="24"/>
          <w:szCs w:val="24"/>
        </w:rPr>
      </w:pPr>
    </w:p>
    <w:p w:rsidR="00603E01" w:rsidRDefault="00603E01" w:rsidP="00C969F1">
      <w:pPr>
        <w:spacing w:line="480" w:lineRule="auto"/>
        <w:contextualSpacing/>
        <w:jc w:val="center"/>
        <w:rPr>
          <w:rFonts w:ascii="Times New Roman" w:hAnsi="Times New Roman"/>
          <w:sz w:val="24"/>
          <w:szCs w:val="24"/>
        </w:rPr>
      </w:pPr>
    </w:p>
    <w:p w:rsidR="00603E01" w:rsidRDefault="00603E01" w:rsidP="00C969F1">
      <w:pPr>
        <w:spacing w:line="480" w:lineRule="auto"/>
        <w:contextualSpacing/>
        <w:jc w:val="center"/>
        <w:rPr>
          <w:rFonts w:ascii="Times New Roman" w:hAnsi="Times New Roman"/>
          <w:sz w:val="24"/>
          <w:szCs w:val="24"/>
        </w:rPr>
      </w:pPr>
    </w:p>
    <w:p w:rsidR="008D3931" w:rsidRPr="00396BAB" w:rsidRDefault="008D3931" w:rsidP="00C969F1">
      <w:pPr>
        <w:spacing w:line="480" w:lineRule="auto"/>
        <w:contextualSpacing/>
        <w:jc w:val="center"/>
        <w:rPr>
          <w:rFonts w:ascii="Times New Roman" w:hAnsi="Times New Roman"/>
          <w:sz w:val="24"/>
          <w:szCs w:val="24"/>
        </w:rPr>
      </w:pPr>
    </w:p>
    <w:p w:rsidR="008D3931" w:rsidRDefault="00D40183" w:rsidP="00C969F1">
      <w:pPr>
        <w:spacing w:line="480" w:lineRule="auto"/>
        <w:contextualSpacing/>
        <w:jc w:val="center"/>
        <w:rPr>
          <w:rFonts w:ascii="Times New Roman" w:hAnsi="Times New Roman"/>
          <w:sz w:val="24"/>
          <w:szCs w:val="24"/>
        </w:rPr>
      </w:pPr>
      <w:r>
        <w:rPr>
          <w:rFonts w:ascii="Times New Roman" w:hAnsi="Times New Roman"/>
          <w:sz w:val="24"/>
          <w:szCs w:val="24"/>
        </w:rPr>
        <w:lastRenderedPageBreak/>
        <w:t xml:space="preserve">Case Study </w:t>
      </w:r>
    </w:p>
    <w:p w:rsidR="00190EA9" w:rsidRPr="005B7BE9" w:rsidRDefault="00D40183" w:rsidP="00C969F1">
      <w:pPr>
        <w:spacing w:line="480" w:lineRule="auto"/>
        <w:contextualSpacing/>
        <w:jc w:val="center"/>
        <w:rPr>
          <w:rFonts w:ascii="Times New Roman" w:hAnsi="Times New Roman"/>
          <w:b/>
          <w:sz w:val="24"/>
          <w:szCs w:val="24"/>
        </w:rPr>
      </w:pPr>
      <w:r w:rsidRPr="005B7BE9">
        <w:rPr>
          <w:rFonts w:ascii="Times New Roman" w:hAnsi="Times New Roman"/>
          <w:b/>
          <w:sz w:val="24"/>
          <w:szCs w:val="24"/>
        </w:rPr>
        <w:t>Summary</w:t>
      </w:r>
    </w:p>
    <w:p w:rsidR="001B6BDB" w:rsidRDefault="00D40183" w:rsidP="00643A14">
      <w:pPr>
        <w:spacing w:line="480" w:lineRule="auto"/>
        <w:ind w:firstLine="720"/>
        <w:contextualSpacing/>
        <w:rPr>
          <w:rFonts w:ascii="Times New Roman" w:hAnsi="Times New Roman"/>
          <w:sz w:val="24"/>
          <w:szCs w:val="24"/>
        </w:rPr>
      </w:pPr>
      <w:r>
        <w:rPr>
          <w:rFonts w:ascii="Times New Roman" w:hAnsi="Times New Roman"/>
          <w:sz w:val="24"/>
          <w:szCs w:val="24"/>
        </w:rPr>
        <w:t xml:space="preserve">The case study presented is about the financial fraud scheme that involved </w:t>
      </w:r>
      <w:r w:rsidRPr="00643A14">
        <w:rPr>
          <w:rFonts w:ascii="Times New Roman" w:hAnsi="Times New Roman"/>
          <w:sz w:val="24"/>
          <w:szCs w:val="24"/>
        </w:rPr>
        <w:t>Terra Australis Financial Planning Limited</w:t>
      </w:r>
      <w:r>
        <w:rPr>
          <w:rFonts w:ascii="Times New Roman" w:hAnsi="Times New Roman"/>
          <w:sz w:val="24"/>
          <w:szCs w:val="24"/>
        </w:rPr>
        <w:t xml:space="preserve"> (TAFP), a financial planning arm of the Terra Australis </w:t>
      </w:r>
      <w:r w:rsidRPr="00643A14">
        <w:rPr>
          <w:rFonts w:ascii="Times New Roman" w:hAnsi="Times New Roman"/>
          <w:sz w:val="24"/>
          <w:szCs w:val="24"/>
        </w:rPr>
        <w:t>Bank</w:t>
      </w:r>
      <w:r>
        <w:rPr>
          <w:rFonts w:ascii="Times New Roman" w:hAnsi="Times New Roman"/>
          <w:sz w:val="24"/>
          <w:szCs w:val="24"/>
        </w:rPr>
        <w:t xml:space="preserve"> (TAB). In this case, the financial planners of TAPF were indicated to have been involved in fraud schemes from 2003-2012 (Case Study</w:t>
      </w:r>
      <w:r w:rsidR="006A3B71">
        <w:rPr>
          <w:rFonts w:ascii="Times New Roman" w:hAnsi="Times New Roman"/>
          <w:sz w:val="24"/>
          <w:szCs w:val="24"/>
        </w:rPr>
        <w:t xml:space="preserve"> 2021</w:t>
      </w:r>
      <w:r>
        <w:rPr>
          <w:rFonts w:ascii="Times New Roman" w:hAnsi="Times New Roman"/>
          <w:sz w:val="24"/>
          <w:szCs w:val="24"/>
        </w:rPr>
        <w:t xml:space="preserve">). </w:t>
      </w:r>
      <w:r w:rsidR="00201B7F">
        <w:rPr>
          <w:rFonts w:ascii="Times New Roman" w:hAnsi="Times New Roman"/>
          <w:sz w:val="24"/>
          <w:szCs w:val="24"/>
        </w:rPr>
        <w:t xml:space="preserve">The financial planners were involved in the forgery and manipulation of clients’ files and monies </w:t>
      </w:r>
      <w:r w:rsidR="006A3B71">
        <w:rPr>
          <w:rFonts w:ascii="Times New Roman" w:hAnsi="Times New Roman"/>
          <w:sz w:val="24"/>
          <w:szCs w:val="24"/>
        </w:rPr>
        <w:t>for</w:t>
      </w:r>
      <w:r w:rsidR="00201B7F">
        <w:rPr>
          <w:rFonts w:ascii="Times New Roman" w:hAnsi="Times New Roman"/>
          <w:sz w:val="24"/>
          <w:szCs w:val="24"/>
        </w:rPr>
        <w:t xml:space="preserve"> investing in high-risk projects to earn higher bonuses and commissions. </w:t>
      </w:r>
      <w:r w:rsidR="006A3B71">
        <w:rPr>
          <w:rFonts w:ascii="Times New Roman" w:hAnsi="Times New Roman"/>
          <w:sz w:val="24"/>
          <w:szCs w:val="24"/>
        </w:rPr>
        <w:t>Effo</w:t>
      </w:r>
      <w:bookmarkStart w:id="0" w:name="_GoBack"/>
      <w:bookmarkEnd w:id="0"/>
      <w:r w:rsidR="006A3B71">
        <w:rPr>
          <w:rFonts w:ascii="Times New Roman" w:hAnsi="Times New Roman"/>
          <w:sz w:val="24"/>
          <w:szCs w:val="24"/>
        </w:rPr>
        <w:t>rts by whistleblowers to save clients from losing their savings were received with less interest</w:t>
      </w:r>
      <w:r w:rsidR="00D929EE">
        <w:rPr>
          <w:rFonts w:ascii="Times New Roman" w:hAnsi="Times New Roman"/>
          <w:sz w:val="24"/>
          <w:szCs w:val="24"/>
        </w:rPr>
        <w:t xml:space="preserve"> and effort</w:t>
      </w:r>
      <w:r w:rsidR="006A3B71">
        <w:rPr>
          <w:rFonts w:ascii="Times New Roman" w:hAnsi="Times New Roman"/>
          <w:sz w:val="24"/>
          <w:szCs w:val="24"/>
        </w:rPr>
        <w:t xml:space="preserve"> by the Australian Securities and Investment Commission (ASIC)</w:t>
      </w:r>
      <w:r w:rsidR="00DB2727">
        <w:rPr>
          <w:rFonts w:ascii="Times New Roman" w:hAnsi="Times New Roman"/>
          <w:sz w:val="24"/>
          <w:szCs w:val="24"/>
        </w:rPr>
        <w:t xml:space="preserve"> (Case Study 2021)</w:t>
      </w:r>
      <w:r w:rsidR="006A3B71">
        <w:rPr>
          <w:rFonts w:ascii="Times New Roman" w:hAnsi="Times New Roman"/>
          <w:sz w:val="24"/>
          <w:szCs w:val="24"/>
        </w:rPr>
        <w:t xml:space="preserve">. </w:t>
      </w:r>
      <w:r w:rsidR="0033053C">
        <w:rPr>
          <w:rFonts w:ascii="Times New Roman" w:hAnsi="Times New Roman"/>
          <w:sz w:val="24"/>
          <w:szCs w:val="24"/>
        </w:rPr>
        <w:t xml:space="preserve">Apart from this, TAPF faced criticisms for failing to implement actions aimed at solving the issue and compensating the victims fairly. </w:t>
      </w:r>
      <w:r w:rsidR="0037271A">
        <w:rPr>
          <w:rFonts w:ascii="Times New Roman" w:hAnsi="Times New Roman"/>
          <w:sz w:val="24"/>
          <w:szCs w:val="24"/>
        </w:rPr>
        <w:t xml:space="preserve">Therefore, this assessment is aimed at addressing these issues. </w:t>
      </w:r>
    </w:p>
    <w:p w:rsidR="00FA65B9" w:rsidRDefault="00D40183" w:rsidP="00FA65B9">
      <w:pPr>
        <w:spacing w:line="480" w:lineRule="auto"/>
        <w:ind w:firstLine="720"/>
        <w:contextualSpacing/>
        <w:jc w:val="center"/>
        <w:rPr>
          <w:rFonts w:ascii="Times New Roman" w:hAnsi="Times New Roman"/>
          <w:b/>
          <w:sz w:val="24"/>
          <w:szCs w:val="24"/>
        </w:rPr>
      </w:pPr>
      <w:r w:rsidRPr="00FA65B9">
        <w:rPr>
          <w:rFonts w:ascii="Times New Roman" w:hAnsi="Times New Roman"/>
          <w:b/>
          <w:sz w:val="24"/>
          <w:szCs w:val="24"/>
        </w:rPr>
        <w:t>Question 1</w:t>
      </w:r>
    </w:p>
    <w:p w:rsidR="00FA65B9" w:rsidRDefault="00D40183" w:rsidP="00FA65B9">
      <w:pPr>
        <w:spacing w:line="480" w:lineRule="auto"/>
        <w:ind w:firstLine="720"/>
        <w:contextualSpacing/>
        <w:rPr>
          <w:rFonts w:ascii="Times New Roman" w:hAnsi="Times New Roman"/>
          <w:sz w:val="24"/>
          <w:szCs w:val="24"/>
        </w:rPr>
      </w:pPr>
      <w:r>
        <w:rPr>
          <w:rFonts w:ascii="Times New Roman" w:hAnsi="Times New Roman"/>
          <w:sz w:val="24"/>
          <w:szCs w:val="24"/>
        </w:rPr>
        <w:t xml:space="preserve">The concept of enterprise risk management outlines the important role that the senior management of an organization has to play in governance and risk management. </w:t>
      </w:r>
      <w:r w:rsidR="00307365">
        <w:rPr>
          <w:rFonts w:ascii="Times New Roman" w:hAnsi="Times New Roman"/>
          <w:sz w:val="24"/>
          <w:szCs w:val="24"/>
        </w:rPr>
        <w:t>The senior management is tasked with the responsibility of developing an optimal risk culture and contributing to the development and management o</w:t>
      </w:r>
      <w:r w:rsidR="00EB54F5">
        <w:rPr>
          <w:rFonts w:ascii="Times New Roman" w:hAnsi="Times New Roman"/>
          <w:sz w:val="24"/>
          <w:szCs w:val="24"/>
        </w:rPr>
        <w:t>f responsible governance frameworks</w:t>
      </w:r>
      <w:r w:rsidR="00307365">
        <w:rPr>
          <w:rFonts w:ascii="Times New Roman" w:hAnsi="Times New Roman"/>
          <w:sz w:val="24"/>
          <w:szCs w:val="24"/>
        </w:rPr>
        <w:t xml:space="preserve"> (</w:t>
      </w:r>
      <w:r w:rsidR="00307365" w:rsidRPr="00307365">
        <w:rPr>
          <w:rFonts w:ascii="Times New Roman" w:hAnsi="Times New Roman"/>
          <w:sz w:val="24"/>
          <w:szCs w:val="24"/>
        </w:rPr>
        <w:t>ASX Corporate Governance Council 2014</w:t>
      </w:r>
      <w:r w:rsidR="00307365">
        <w:rPr>
          <w:rFonts w:ascii="Times New Roman" w:hAnsi="Times New Roman"/>
          <w:sz w:val="24"/>
          <w:szCs w:val="24"/>
        </w:rPr>
        <w:t xml:space="preserve">). </w:t>
      </w:r>
      <w:r w:rsidR="00EB54F5">
        <w:rPr>
          <w:rFonts w:ascii="Times New Roman" w:hAnsi="Times New Roman"/>
          <w:sz w:val="24"/>
          <w:szCs w:val="24"/>
        </w:rPr>
        <w:t xml:space="preserve">Based on this, the TAFP failed to deal with the errors and </w:t>
      </w:r>
      <w:r w:rsidR="00B7262E">
        <w:rPr>
          <w:rFonts w:ascii="Times New Roman" w:hAnsi="Times New Roman"/>
          <w:sz w:val="24"/>
          <w:szCs w:val="24"/>
        </w:rPr>
        <w:t>omissions</w:t>
      </w:r>
      <w:r w:rsidR="00EB54F5">
        <w:rPr>
          <w:rFonts w:ascii="Times New Roman" w:hAnsi="Times New Roman"/>
          <w:sz w:val="24"/>
          <w:szCs w:val="24"/>
        </w:rPr>
        <w:t xml:space="preserve"> that were identified in its financial dealings. </w:t>
      </w:r>
      <w:r w:rsidR="00B7262E">
        <w:rPr>
          <w:rFonts w:ascii="Times New Roman" w:hAnsi="Times New Roman"/>
          <w:sz w:val="24"/>
          <w:szCs w:val="24"/>
        </w:rPr>
        <w:t xml:space="preserve">Apart from this, there were also issues of ethics non-compliance and corporate governance challenges that affected both the organizations and their customers (Case Study 2021). </w:t>
      </w:r>
    </w:p>
    <w:p w:rsidR="001758F0" w:rsidRDefault="00D40183" w:rsidP="00FA65B9">
      <w:pPr>
        <w:spacing w:line="480" w:lineRule="auto"/>
        <w:ind w:firstLine="720"/>
        <w:contextualSpacing/>
        <w:rPr>
          <w:rFonts w:ascii="Times New Roman" w:hAnsi="Times New Roman"/>
          <w:sz w:val="24"/>
          <w:szCs w:val="24"/>
        </w:rPr>
      </w:pPr>
      <w:r>
        <w:rPr>
          <w:rFonts w:ascii="Times New Roman" w:hAnsi="Times New Roman"/>
          <w:sz w:val="24"/>
          <w:szCs w:val="24"/>
        </w:rPr>
        <w:t>Certain actions of the middle and senior manageme</w:t>
      </w:r>
      <w:r>
        <w:rPr>
          <w:rFonts w:ascii="Times New Roman" w:hAnsi="Times New Roman"/>
          <w:sz w:val="24"/>
          <w:szCs w:val="24"/>
        </w:rPr>
        <w:t xml:space="preserve">nt of the organization aggravated the situation. </w:t>
      </w:r>
      <w:r w:rsidR="00C745B3">
        <w:rPr>
          <w:rFonts w:ascii="Times New Roman" w:hAnsi="Times New Roman"/>
          <w:sz w:val="24"/>
          <w:szCs w:val="24"/>
        </w:rPr>
        <w:t xml:space="preserve">The remuneration policy of the organization was aggressive, and it led to dishonest and </w:t>
      </w:r>
      <w:r w:rsidR="00C745B3">
        <w:rPr>
          <w:rFonts w:ascii="Times New Roman" w:hAnsi="Times New Roman"/>
          <w:sz w:val="24"/>
          <w:szCs w:val="24"/>
        </w:rPr>
        <w:lastRenderedPageBreak/>
        <w:t xml:space="preserve">fraudulent practices by employees to get higher commissions and bonuses (Case Study, 2021). The senior management failed to correct this problem. </w:t>
      </w:r>
      <w:r w:rsidR="001A44F3">
        <w:rPr>
          <w:rFonts w:ascii="Times New Roman" w:hAnsi="Times New Roman"/>
          <w:sz w:val="24"/>
          <w:szCs w:val="24"/>
        </w:rPr>
        <w:t xml:space="preserve">Even though the senior management had received information on the fraudulent activities of Don, they gave him protection as he was a top earner. </w:t>
      </w:r>
      <w:r w:rsidR="003C181C">
        <w:rPr>
          <w:rFonts w:ascii="Times New Roman" w:hAnsi="Times New Roman"/>
          <w:sz w:val="24"/>
          <w:szCs w:val="24"/>
        </w:rPr>
        <w:t xml:space="preserve">Apart from this, the senior management of TAPF failed to </w:t>
      </w:r>
      <w:r>
        <w:rPr>
          <w:rFonts w:ascii="Times New Roman" w:hAnsi="Times New Roman"/>
          <w:sz w:val="24"/>
          <w:szCs w:val="24"/>
        </w:rPr>
        <w:t xml:space="preserve">act on </w:t>
      </w:r>
      <w:r w:rsidR="003C181C">
        <w:rPr>
          <w:rFonts w:ascii="Times New Roman" w:hAnsi="Times New Roman"/>
          <w:sz w:val="24"/>
          <w:szCs w:val="24"/>
        </w:rPr>
        <w:t xml:space="preserve">complaints and information that was brought forward by whistleblowers such as Joe Bloe. </w:t>
      </w:r>
    </w:p>
    <w:p w:rsidR="00C73183" w:rsidRDefault="00D40183" w:rsidP="00FA65B9">
      <w:pPr>
        <w:spacing w:line="480" w:lineRule="auto"/>
        <w:ind w:firstLine="720"/>
        <w:contextualSpacing/>
        <w:rPr>
          <w:rFonts w:ascii="Times New Roman" w:hAnsi="Times New Roman"/>
          <w:sz w:val="24"/>
          <w:szCs w:val="24"/>
        </w:rPr>
      </w:pPr>
      <w:r>
        <w:rPr>
          <w:rFonts w:ascii="Times New Roman" w:hAnsi="Times New Roman"/>
          <w:sz w:val="24"/>
          <w:szCs w:val="24"/>
        </w:rPr>
        <w:t xml:space="preserve">If I were in the position of Sam Venus, I would implement different actions to address the crisis and the risks and to prevent them from taking place in the future. </w:t>
      </w:r>
      <w:r w:rsidR="0099163B">
        <w:rPr>
          <w:rFonts w:ascii="Times New Roman" w:hAnsi="Times New Roman"/>
          <w:sz w:val="24"/>
          <w:szCs w:val="24"/>
        </w:rPr>
        <w:t xml:space="preserve">The first action would be to eliminate the high-risk culture that only focuses on sales and meeting targets in attracting customers. In the place of this, I would implement a culture that rewards employees for their integrity, honesty, and ethical behavior towards customers </w:t>
      </w:r>
      <w:r w:rsidR="008832E4">
        <w:rPr>
          <w:rFonts w:ascii="Times New Roman" w:hAnsi="Times New Roman"/>
          <w:sz w:val="24"/>
          <w:szCs w:val="24"/>
        </w:rPr>
        <w:t>among others (</w:t>
      </w:r>
      <w:r w:rsidR="008832E4" w:rsidRPr="008832E4">
        <w:rPr>
          <w:rFonts w:ascii="Times New Roman" w:hAnsi="Times New Roman"/>
          <w:sz w:val="24"/>
          <w:szCs w:val="24"/>
        </w:rPr>
        <w:t>ASX Corporate Governance Council 2014</w:t>
      </w:r>
      <w:r w:rsidR="008832E4">
        <w:rPr>
          <w:rFonts w:ascii="Times New Roman" w:hAnsi="Times New Roman"/>
          <w:sz w:val="24"/>
          <w:szCs w:val="24"/>
        </w:rPr>
        <w:t xml:space="preserve">). </w:t>
      </w:r>
      <w:r w:rsidR="00630915">
        <w:rPr>
          <w:rFonts w:ascii="Times New Roman" w:hAnsi="Times New Roman"/>
          <w:sz w:val="24"/>
          <w:szCs w:val="24"/>
        </w:rPr>
        <w:t xml:space="preserve">The second action I would take is to monitor the performance of the financial planners to identify any unethical or fraudulent practices. This would enable me to implement corrective action. </w:t>
      </w:r>
      <w:r w:rsidR="002B1D78">
        <w:rPr>
          <w:rFonts w:ascii="Times New Roman" w:hAnsi="Times New Roman"/>
          <w:sz w:val="24"/>
          <w:szCs w:val="24"/>
        </w:rPr>
        <w:t xml:space="preserve">Apart from this, I would also implement a policy aimed at encouraging and protecting whistleblowers. </w:t>
      </w:r>
    </w:p>
    <w:p w:rsidR="0074268C" w:rsidRDefault="00D40183" w:rsidP="0074268C">
      <w:pPr>
        <w:spacing w:line="480" w:lineRule="auto"/>
        <w:ind w:firstLine="720"/>
        <w:contextualSpacing/>
        <w:jc w:val="center"/>
        <w:rPr>
          <w:rFonts w:ascii="Times New Roman" w:hAnsi="Times New Roman"/>
          <w:b/>
          <w:sz w:val="24"/>
          <w:szCs w:val="24"/>
        </w:rPr>
      </w:pPr>
      <w:r w:rsidRPr="0074268C">
        <w:rPr>
          <w:rFonts w:ascii="Times New Roman" w:hAnsi="Times New Roman"/>
          <w:b/>
          <w:sz w:val="24"/>
          <w:szCs w:val="24"/>
        </w:rPr>
        <w:t>Question 2</w:t>
      </w:r>
    </w:p>
    <w:p w:rsidR="00BE0431" w:rsidRDefault="00D40183" w:rsidP="0074268C">
      <w:pPr>
        <w:spacing w:line="480" w:lineRule="auto"/>
        <w:ind w:firstLine="720"/>
        <w:contextualSpacing/>
        <w:rPr>
          <w:rFonts w:ascii="Times New Roman" w:hAnsi="Times New Roman"/>
          <w:sz w:val="24"/>
          <w:szCs w:val="24"/>
        </w:rPr>
      </w:pPr>
      <w:r>
        <w:rPr>
          <w:rFonts w:ascii="Times New Roman" w:hAnsi="Times New Roman"/>
          <w:sz w:val="24"/>
          <w:szCs w:val="24"/>
        </w:rPr>
        <w:t>TAB’s remuneration plan was based on the investment portfolios that the financial planners had developed and implemented with their custo</w:t>
      </w:r>
      <w:r>
        <w:rPr>
          <w:rFonts w:ascii="Times New Roman" w:hAnsi="Times New Roman"/>
          <w:sz w:val="24"/>
          <w:szCs w:val="24"/>
        </w:rPr>
        <w:t xml:space="preserve">mers. </w:t>
      </w:r>
      <w:r w:rsidR="00832ED2">
        <w:rPr>
          <w:rFonts w:ascii="Times New Roman" w:hAnsi="Times New Roman"/>
          <w:sz w:val="24"/>
          <w:szCs w:val="24"/>
        </w:rPr>
        <w:t xml:space="preserve">Over 50% of financial planners’ remuneration was based on short-term incentives like commissions and bonuses (Case Study 2021). </w:t>
      </w:r>
      <w:r w:rsidR="00A169FF">
        <w:rPr>
          <w:rFonts w:ascii="Times New Roman" w:hAnsi="Times New Roman"/>
          <w:sz w:val="24"/>
          <w:szCs w:val="24"/>
        </w:rPr>
        <w:t xml:space="preserve">For example, the amount of commission received by financial planners would depend on the risk levels of their investments and assets. </w:t>
      </w:r>
      <w:r w:rsidR="00517B7D">
        <w:rPr>
          <w:rFonts w:ascii="Times New Roman" w:hAnsi="Times New Roman"/>
          <w:sz w:val="24"/>
          <w:szCs w:val="24"/>
        </w:rPr>
        <w:t xml:space="preserve">This made financial planners focus on advising customers to invest in high-risk portfolios without consideration for other factors such as financial security, age, and years of employment among others (Case Study 2021). </w:t>
      </w:r>
      <w:r w:rsidR="00C84DBF">
        <w:rPr>
          <w:rFonts w:ascii="Times New Roman" w:hAnsi="Times New Roman"/>
          <w:sz w:val="24"/>
          <w:szCs w:val="24"/>
        </w:rPr>
        <w:t xml:space="preserve">Apart from this, the employees were also required to meet their targets or lose the benefits. </w:t>
      </w:r>
    </w:p>
    <w:p w:rsidR="0074268C" w:rsidRDefault="00D40183" w:rsidP="0074268C">
      <w:pPr>
        <w:spacing w:line="480" w:lineRule="auto"/>
        <w:ind w:firstLine="720"/>
        <w:contextualSpacing/>
        <w:rPr>
          <w:rFonts w:ascii="Times New Roman" w:hAnsi="Times New Roman"/>
          <w:sz w:val="24"/>
          <w:szCs w:val="24"/>
        </w:rPr>
      </w:pPr>
      <w:r>
        <w:rPr>
          <w:rFonts w:ascii="Times New Roman" w:hAnsi="Times New Roman"/>
          <w:sz w:val="24"/>
          <w:szCs w:val="24"/>
        </w:rPr>
        <w:lastRenderedPageBreak/>
        <w:t>The remuneration plan at TAB had a major influence on the culture of an organization, which led to unhealthy competition, dishonesty, and the focus on profits and sales. An effective re</w:t>
      </w:r>
      <w:r>
        <w:rPr>
          <w:rFonts w:ascii="Times New Roman" w:hAnsi="Times New Roman"/>
          <w:sz w:val="24"/>
          <w:szCs w:val="24"/>
        </w:rPr>
        <w:t xml:space="preserve">muneration plan must focus on both the process and output of the employees (Australian Prudential Regulatory Authority 2018). </w:t>
      </w:r>
      <w:r w:rsidR="00520EC9">
        <w:rPr>
          <w:rFonts w:ascii="Times New Roman" w:hAnsi="Times New Roman"/>
          <w:sz w:val="24"/>
          <w:szCs w:val="24"/>
        </w:rPr>
        <w:t xml:space="preserve">Different changes can be implemented in the organization to minimize agency conflict. </w:t>
      </w:r>
      <w:r w:rsidR="00A41BE7">
        <w:rPr>
          <w:rFonts w:ascii="Times New Roman" w:hAnsi="Times New Roman"/>
          <w:sz w:val="24"/>
          <w:szCs w:val="24"/>
        </w:rPr>
        <w:t xml:space="preserve">Half of the remuneration of the financial planners should be based on their return on investments (Australian Prudential Regulatory Authority, 2018). </w:t>
      </w:r>
      <w:r w:rsidR="00A611EE">
        <w:rPr>
          <w:rFonts w:ascii="Times New Roman" w:hAnsi="Times New Roman"/>
          <w:sz w:val="24"/>
          <w:szCs w:val="24"/>
        </w:rPr>
        <w:t xml:space="preserve">About 30% of the remuneration should be based on the satisfaction of customers concerning their choice of investments. </w:t>
      </w:r>
      <w:r w:rsidR="004B02E2">
        <w:rPr>
          <w:rFonts w:ascii="Times New Roman" w:hAnsi="Times New Roman"/>
          <w:sz w:val="24"/>
          <w:szCs w:val="24"/>
        </w:rPr>
        <w:t>The remaining 20% should be based on teamwork and organizational performance</w:t>
      </w:r>
      <w:r w:rsidR="0062334E">
        <w:rPr>
          <w:rFonts w:ascii="Times New Roman" w:hAnsi="Times New Roman"/>
          <w:sz w:val="24"/>
          <w:szCs w:val="24"/>
        </w:rPr>
        <w:t xml:space="preserve"> (</w:t>
      </w:r>
      <w:r w:rsidR="0062334E" w:rsidRPr="0062334E">
        <w:rPr>
          <w:rFonts w:ascii="Times New Roman" w:hAnsi="Times New Roman"/>
          <w:sz w:val="24"/>
          <w:szCs w:val="24"/>
        </w:rPr>
        <w:t>Australian Prudential Regulatory Authority 2018</w:t>
      </w:r>
      <w:r w:rsidR="0062334E">
        <w:rPr>
          <w:rFonts w:ascii="Times New Roman" w:hAnsi="Times New Roman"/>
          <w:sz w:val="24"/>
          <w:szCs w:val="24"/>
        </w:rPr>
        <w:t>)</w:t>
      </w:r>
      <w:r w:rsidR="004B02E2">
        <w:rPr>
          <w:rFonts w:ascii="Times New Roman" w:hAnsi="Times New Roman"/>
          <w:sz w:val="24"/>
          <w:szCs w:val="24"/>
        </w:rPr>
        <w:t xml:space="preserve">. </w:t>
      </w:r>
      <w:r w:rsidR="00E73A08">
        <w:rPr>
          <w:rFonts w:ascii="Times New Roman" w:hAnsi="Times New Roman"/>
          <w:sz w:val="24"/>
          <w:szCs w:val="24"/>
        </w:rPr>
        <w:t xml:space="preserve">This would ensure that there is fair competition, a positive culture, and ethical practices among the employees. </w:t>
      </w:r>
    </w:p>
    <w:p w:rsidR="006C2F35" w:rsidRDefault="00D40183" w:rsidP="00956556">
      <w:pPr>
        <w:spacing w:line="480" w:lineRule="auto"/>
        <w:ind w:firstLine="720"/>
        <w:contextualSpacing/>
        <w:jc w:val="center"/>
        <w:rPr>
          <w:rFonts w:ascii="Times New Roman" w:hAnsi="Times New Roman"/>
          <w:b/>
          <w:sz w:val="24"/>
          <w:szCs w:val="24"/>
        </w:rPr>
      </w:pPr>
      <w:r w:rsidRPr="00956556">
        <w:rPr>
          <w:rFonts w:ascii="Times New Roman" w:hAnsi="Times New Roman"/>
          <w:b/>
          <w:sz w:val="24"/>
          <w:szCs w:val="24"/>
        </w:rPr>
        <w:t>Q</w:t>
      </w:r>
      <w:r w:rsidRPr="00956556">
        <w:rPr>
          <w:rFonts w:ascii="Times New Roman" w:hAnsi="Times New Roman"/>
          <w:b/>
          <w:sz w:val="24"/>
          <w:szCs w:val="24"/>
        </w:rPr>
        <w:t>uestion 3</w:t>
      </w:r>
    </w:p>
    <w:p w:rsidR="00956556" w:rsidRDefault="00D40183" w:rsidP="00956556">
      <w:pPr>
        <w:spacing w:line="480" w:lineRule="auto"/>
        <w:ind w:firstLine="720"/>
        <w:contextualSpacing/>
        <w:rPr>
          <w:rFonts w:ascii="Times New Roman" w:hAnsi="Times New Roman"/>
          <w:sz w:val="24"/>
          <w:szCs w:val="24"/>
        </w:rPr>
      </w:pPr>
      <w:r>
        <w:rPr>
          <w:rFonts w:ascii="Times New Roman" w:hAnsi="Times New Roman"/>
          <w:sz w:val="24"/>
          <w:szCs w:val="24"/>
        </w:rPr>
        <w:t xml:space="preserve">ASIC is an Australian regulatory body that is charged with the duty of regulating company and financial services, as well as, enforcing laws for protecting different stakeholders. </w:t>
      </w:r>
      <w:r w:rsidR="00E40B46">
        <w:rPr>
          <w:rFonts w:ascii="Times New Roman" w:hAnsi="Times New Roman"/>
          <w:sz w:val="24"/>
          <w:szCs w:val="24"/>
        </w:rPr>
        <w:t>In this case, ASIC was responsible for ove</w:t>
      </w:r>
      <w:r w:rsidR="0096766F">
        <w:rPr>
          <w:rFonts w:ascii="Times New Roman" w:hAnsi="Times New Roman"/>
          <w:sz w:val="24"/>
          <w:szCs w:val="24"/>
        </w:rPr>
        <w:t xml:space="preserve">rlooking the activities of TPAF. </w:t>
      </w:r>
      <w:r w:rsidR="002B6BCF">
        <w:rPr>
          <w:rFonts w:ascii="Times New Roman" w:hAnsi="Times New Roman"/>
          <w:sz w:val="24"/>
          <w:szCs w:val="24"/>
        </w:rPr>
        <w:t xml:space="preserve">In 2008, ASIC performed its duty by sending a warning to 38 financial planners at TPAF regarding their non-compliance and failure to follow protocol (Case Study 2021). </w:t>
      </w:r>
      <w:r w:rsidR="00312652">
        <w:rPr>
          <w:rFonts w:ascii="Times New Roman" w:hAnsi="Times New Roman"/>
          <w:sz w:val="24"/>
          <w:szCs w:val="24"/>
        </w:rPr>
        <w:t xml:space="preserve">However, in 2008, ASIC failed to act over information that was provided by whistleblowers, requiring </w:t>
      </w:r>
      <w:r w:rsidR="00D96C0F">
        <w:rPr>
          <w:rFonts w:ascii="Times New Roman" w:hAnsi="Times New Roman"/>
          <w:sz w:val="24"/>
          <w:szCs w:val="24"/>
        </w:rPr>
        <w:t xml:space="preserve">it </w:t>
      </w:r>
      <w:r w:rsidR="00312652">
        <w:rPr>
          <w:rFonts w:ascii="Times New Roman" w:hAnsi="Times New Roman"/>
          <w:sz w:val="24"/>
          <w:szCs w:val="24"/>
        </w:rPr>
        <w:t xml:space="preserve">to take urgent action against TPAF. </w:t>
      </w:r>
      <w:r w:rsidR="00D96C0F">
        <w:rPr>
          <w:rFonts w:ascii="Times New Roman" w:hAnsi="Times New Roman"/>
          <w:sz w:val="24"/>
          <w:szCs w:val="24"/>
        </w:rPr>
        <w:t xml:space="preserve">By 2010, ASIC had not only failed to take action, but it also failed to take measures aimed at protecting the whistleblowers. </w:t>
      </w:r>
      <w:r w:rsidR="008E4125">
        <w:rPr>
          <w:rFonts w:ascii="Times New Roman" w:hAnsi="Times New Roman"/>
          <w:sz w:val="24"/>
          <w:szCs w:val="24"/>
        </w:rPr>
        <w:t xml:space="preserve">Apart from this, ASIC had proved that it could not be trusted in managing the Australian Financial market </w:t>
      </w:r>
      <w:r w:rsidR="002555B5">
        <w:rPr>
          <w:rFonts w:ascii="Times New Roman" w:hAnsi="Times New Roman"/>
          <w:sz w:val="24"/>
          <w:szCs w:val="24"/>
        </w:rPr>
        <w:t xml:space="preserve">(Eroglu &amp; </w:t>
      </w:r>
      <w:r w:rsidR="00314B8F">
        <w:rPr>
          <w:rFonts w:ascii="Times New Roman" w:hAnsi="Times New Roman"/>
          <w:sz w:val="24"/>
          <w:szCs w:val="24"/>
        </w:rPr>
        <w:t>Powell</w:t>
      </w:r>
      <w:r w:rsidR="002555B5">
        <w:rPr>
          <w:rFonts w:ascii="Times New Roman" w:hAnsi="Times New Roman"/>
          <w:sz w:val="24"/>
          <w:szCs w:val="24"/>
        </w:rPr>
        <w:t xml:space="preserve"> 2020)</w:t>
      </w:r>
      <w:r w:rsidR="00573467">
        <w:rPr>
          <w:rFonts w:ascii="Times New Roman" w:hAnsi="Times New Roman"/>
          <w:sz w:val="24"/>
          <w:szCs w:val="24"/>
        </w:rPr>
        <w:t xml:space="preserve">. </w:t>
      </w:r>
      <w:r w:rsidR="00A657C5">
        <w:rPr>
          <w:rFonts w:ascii="Times New Roman" w:hAnsi="Times New Roman"/>
          <w:sz w:val="24"/>
          <w:szCs w:val="24"/>
        </w:rPr>
        <w:t xml:space="preserve">It was not until 2011 that ASIC investigated the fraud and implemented an enforceable undertaking that </w:t>
      </w:r>
      <w:r w:rsidR="00A657C5">
        <w:rPr>
          <w:rFonts w:ascii="Times New Roman" w:hAnsi="Times New Roman"/>
          <w:sz w:val="24"/>
          <w:szCs w:val="24"/>
        </w:rPr>
        <w:lastRenderedPageBreak/>
        <w:t xml:space="preserve">was to last for two years. </w:t>
      </w:r>
      <w:r w:rsidR="00580D1C">
        <w:rPr>
          <w:rFonts w:ascii="Times New Roman" w:hAnsi="Times New Roman"/>
          <w:sz w:val="24"/>
          <w:szCs w:val="24"/>
        </w:rPr>
        <w:t xml:space="preserve">In the end, the senate investigations also indicated that ASIC had been ineffective in the financial investigation of TAPF. </w:t>
      </w:r>
    </w:p>
    <w:p w:rsidR="004709AE" w:rsidRDefault="00D40183" w:rsidP="00956556">
      <w:pPr>
        <w:spacing w:line="480" w:lineRule="auto"/>
        <w:ind w:firstLine="720"/>
        <w:contextualSpacing/>
        <w:rPr>
          <w:rFonts w:ascii="Times New Roman" w:hAnsi="Times New Roman"/>
          <w:sz w:val="24"/>
          <w:szCs w:val="24"/>
        </w:rPr>
      </w:pPr>
      <w:r>
        <w:rPr>
          <w:rFonts w:ascii="Times New Roman" w:hAnsi="Times New Roman"/>
          <w:sz w:val="24"/>
          <w:szCs w:val="24"/>
        </w:rPr>
        <w:t>Different reasons could explain why ASIC experienced challenges in investigating this case. A negative culture could have contribut</w:t>
      </w:r>
      <w:r>
        <w:rPr>
          <w:rFonts w:ascii="Times New Roman" w:hAnsi="Times New Roman"/>
          <w:sz w:val="24"/>
          <w:szCs w:val="24"/>
        </w:rPr>
        <w:t>ed to this problem. According to the Hayne Royal Commission, ASIC's enforcement activities have been ineffective (</w:t>
      </w:r>
      <w:r w:rsidRPr="00314B8F">
        <w:rPr>
          <w:rFonts w:ascii="Times New Roman" w:hAnsi="Times New Roman"/>
          <w:sz w:val="24"/>
          <w:szCs w:val="24"/>
        </w:rPr>
        <w:t>Eroglu &amp; Powell 2020</w:t>
      </w:r>
      <w:r>
        <w:rPr>
          <w:rFonts w:ascii="Times New Roman" w:hAnsi="Times New Roman"/>
          <w:sz w:val="24"/>
          <w:szCs w:val="24"/>
        </w:rPr>
        <w:t xml:space="preserve">). Apart from this, the employees of ASIC might have been incompetent. </w:t>
      </w:r>
      <w:r w:rsidR="00783F18">
        <w:rPr>
          <w:rFonts w:ascii="Times New Roman" w:hAnsi="Times New Roman"/>
          <w:sz w:val="24"/>
          <w:szCs w:val="24"/>
        </w:rPr>
        <w:t xml:space="preserve">Apart from this, the failure of TAPF to cooperate with ASIC could have contributed to the difficulties. </w:t>
      </w:r>
      <w:r w:rsidR="00A01AEC">
        <w:rPr>
          <w:rFonts w:ascii="Times New Roman" w:hAnsi="Times New Roman"/>
          <w:sz w:val="24"/>
          <w:szCs w:val="24"/>
        </w:rPr>
        <w:t xml:space="preserve">The senior management of TAPF had shown a lack of interest in investigating the case. </w:t>
      </w:r>
    </w:p>
    <w:p w:rsidR="00303CE6" w:rsidRDefault="00D40183" w:rsidP="00E70FC3">
      <w:pPr>
        <w:spacing w:line="480" w:lineRule="auto"/>
        <w:ind w:firstLine="720"/>
        <w:contextualSpacing/>
        <w:jc w:val="center"/>
        <w:rPr>
          <w:rFonts w:ascii="Times New Roman" w:hAnsi="Times New Roman"/>
          <w:b/>
          <w:sz w:val="24"/>
          <w:szCs w:val="24"/>
        </w:rPr>
      </w:pPr>
      <w:r w:rsidRPr="00E70FC3">
        <w:rPr>
          <w:rFonts w:ascii="Times New Roman" w:hAnsi="Times New Roman"/>
          <w:b/>
          <w:sz w:val="24"/>
          <w:szCs w:val="24"/>
        </w:rPr>
        <w:t>Question 4</w:t>
      </w:r>
    </w:p>
    <w:p w:rsidR="00E70FC3" w:rsidRDefault="00D40183" w:rsidP="00E70FC3">
      <w:pPr>
        <w:spacing w:line="480" w:lineRule="auto"/>
        <w:ind w:firstLine="720"/>
        <w:contextualSpacing/>
        <w:rPr>
          <w:rFonts w:ascii="Times New Roman" w:hAnsi="Times New Roman"/>
          <w:sz w:val="24"/>
          <w:szCs w:val="24"/>
        </w:rPr>
      </w:pPr>
      <w:r>
        <w:rPr>
          <w:rFonts w:ascii="Times New Roman" w:hAnsi="Times New Roman"/>
          <w:sz w:val="24"/>
          <w:szCs w:val="24"/>
        </w:rPr>
        <w:t xml:space="preserve">The media plays an effective role in promoting good governance just like in the case of TPAF. </w:t>
      </w:r>
      <w:r w:rsidR="00F67F86">
        <w:rPr>
          <w:rFonts w:ascii="Times New Roman" w:hAnsi="Times New Roman"/>
          <w:sz w:val="24"/>
          <w:szCs w:val="24"/>
        </w:rPr>
        <w:t xml:space="preserve">In cases of corporate governance, the media acts as a catalyst. </w:t>
      </w:r>
      <w:r w:rsidR="00605262">
        <w:rPr>
          <w:rFonts w:ascii="Times New Roman" w:hAnsi="Times New Roman"/>
          <w:sz w:val="24"/>
          <w:szCs w:val="24"/>
        </w:rPr>
        <w:t xml:space="preserve">The use of social media and other networking sites has ensured that corporates and the government provide knowledge, connectivity, and transparency with the different stakeholders </w:t>
      </w:r>
      <w:r w:rsidR="00986F54">
        <w:rPr>
          <w:rFonts w:ascii="Times New Roman" w:hAnsi="Times New Roman"/>
          <w:sz w:val="24"/>
          <w:szCs w:val="24"/>
        </w:rPr>
        <w:t>(Queensland Parliament 2015)</w:t>
      </w:r>
      <w:r w:rsidR="00605262">
        <w:rPr>
          <w:rFonts w:ascii="Times New Roman" w:hAnsi="Times New Roman"/>
          <w:sz w:val="24"/>
          <w:szCs w:val="24"/>
        </w:rPr>
        <w:t xml:space="preserve">. Therefore, the media determines the reputation of corporations. </w:t>
      </w:r>
      <w:r w:rsidR="007914C5">
        <w:rPr>
          <w:rFonts w:ascii="Times New Roman" w:hAnsi="Times New Roman"/>
          <w:sz w:val="24"/>
          <w:szCs w:val="24"/>
        </w:rPr>
        <w:t xml:space="preserve">Companies that fail to implement good governance and reforms can have a bad reputation among the public. Apart from this, they can experience a decline in market share, employability, and sales. </w:t>
      </w:r>
      <w:r w:rsidR="00686315">
        <w:rPr>
          <w:rFonts w:ascii="Times New Roman" w:hAnsi="Times New Roman"/>
          <w:sz w:val="24"/>
          <w:szCs w:val="24"/>
        </w:rPr>
        <w:t xml:space="preserve">Some of the factors that can limit the effectiveness of the media include timing, media channels, and poor content </w:t>
      </w:r>
      <w:r w:rsidR="00D64D2B">
        <w:rPr>
          <w:rFonts w:ascii="Times New Roman" w:hAnsi="Times New Roman"/>
          <w:sz w:val="24"/>
          <w:szCs w:val="24"/>
        </w:rPr>
        <w:t xml:space="preserve">among others </w:t>
      </w:r>
      <w:r w:rsidR="00686315">
        <w:rPr>
          <w:rFonts w:ascii="Times New Roman" w:hAnsi="Times New Roman"/>
          <w:sz w:val="24"/>
          <w:szCs w:val="24"/>
        </w:rPr>
        <w:t xml:space="preserve">(Queensland Parliament 2015). </w:t>
      </w:r>
    </w:p>
    <w:p w:rsidR="00D64D2B" w:rsidRDefault="00D40183" w:rsidP="00E70FC3">
      <w:pPr>
        <w:spacing w:line="480" w:lineRule="auto"/>
        <w:ind w:firstLine="720"/>
        <w:contextualSpacing/>
        <w:rPr>
          <w:rFonts w:ascii="Times New Roman" w:hAnsi="Times New Roman"/>
          <w:sz w:val="24"/>
          <w:szCs w:val="24"/>
        </w:rPr>
      </w:pPr>
      <w:r>
        <w:rPr>
          <w:rFonts w:ascii="Times New Roman" w:hAnsi="Times New Roman"/>
          <w:sz w:val="24"/>
          <w:szCs w:val="24"/>
        </w:rPr>
        <w:t xml:space="preserve">Social media can play a role in enterprise risk management. </w:t>
      </w:r>
      <w:r w:rsidR="005F6B1D">
        <w:rPr>
          <w:rFonts w:ascii="Times New Roman" w:hAnsi="Times New Roman"/>
          <w:sz w:val="24"/>
          <w:szCs w:val="24"/>
        </w:rPr>
        <w:t xml:space="preserve">However, it must be integrated into the enterprise risk management strategy. </w:t>
      </w:r>
      <w:r w:rsidR="005F4B82">
        <w:rPr>
          <w:rFonts w:ascii="Times New Roman" w:hAnsi="Times New Roman"/>
          <w:sz w:val="24"/>
          <w:szCs w:val="24"/>
        </w:rPr>
        <w:t>The role of enterprise risk management is to identify risks, evaluate, and integrate risk management strategies in decision-making and monitoring (</w:t>
      </w:r>
      <w:r w:rsidR="005F4B82" w:rsidRPr="005F4B82">
        <w:rPr>
          <w:rFonts w:ascii="Times New Roman" w:hAnsi="Times New Roman"/>
          <w:sz w:val="24"/>
          <w:szCs w:val="24"/>
        </w:rPr>
        <w:t>ASX Corporate Governance Council 2014</w:t>
      </w:r>
      <w:r w:rsidR="005F4B82">
        <w:rPr>
          <w:rFonts w:ascii="Times New Roman" w:hAnsi="Times New Roman"/>
          <w:sz w:val="24"/>
          <w:szCs w:val="24"/>
        </w:rPr>
        <w:t xml:space="preserve">). </w:t>
      </w:r>
      <w:r w:rsidR="0095515A">
        <w:rPr>
          <w:rFonts w:ascii="Times New Roman" w:hAnsi="Times New Roman"/>
          <w:sz w:val="24"/>
          <w:szCs w:val="24"/>
        </w:rPr>
        <w:t xml:space="preserve">Therefore, organizations use social media to connect with their customers and improve their brands. It leads to increased sales and a </w:t>
      </w:r>
      <w:r w:rsidR="0095515A">
        <w:rPr>
          <w:rFonts w:ascii="Times New Roman" w:hAnsi="Times New Roman"/>
          <w:sz w:val="24"/>
          <w:szCs w:val="24"/>
        </w:rPr>
        <w:lastRenderedPageBreak/>
        <w:t xml:space="preserve">positive reputation. </w:t>
      </w:r>
      <w:r w:rsidR="00BF194B">
        <w:rPr>
          <w:rFonts w:ascii="Times New Roman" w:hAnsi="Times New Roman"/>
          <w:sz w:val="24"/>
          <w:szCs w:val="24"/>
        </w:rPr>
        <w:t xml:space="preserve">Through social media, organizations cannot only manage their reputation but also </w:t>
      </w:r>
      <w:r w:rsidR="006F5002">
        <w:rPr>
          <w:rFonts w:ascii="Times New Roman" w:hAnsi="Times New Roman"/>
          <w:sz w:val="24"/>
          <w:szCs w:val="24"/>
        </w:rPr>
        <w:t xml:space="preserve">eliminate negative publicity and minimize risks that might result from competition. </w:t>
      </w:r>
      <w:r w:rsidR="00F7370B">
        <w:rPr>
          <w:rFonts w:ascii="Times New Roman" w:hAnsi="Times New Roman"/>
          <w:sz w:val="24"/>
          <w:szCs w:val="24"/>
        </w:rPr>
        <w:t>Organizations can use social media to communicate in times of crisis</w:t>
      </w:r>
      <w:r w:rsidR="0095515A">
        <w:rPr>
          <w:rFonts w:ascii="Times New Roman" w:hAnsi="Times New Roman"/>
          <w:sz w:val="24"/>
          <w:szCs w:val="24"/>
        </w:rPr>
        <w:t xml:space="preserve"> </w:t>
      </w:r>
      <w:r w:rsidR="00F7370B">
        <w:rPr>
          <w:rFonts w:ascii="Times New Roman" w:hAnsi="Times New Roman"/>
          <w:sz w:val="24"/>
          <w:szCs w:val="24"/>
        </w:rPr>
        <w:t xml:space="preserve">or integrate it into their strategic communication plans. This can prevent negative outcomes that result from a bad reputation. </w:t>
      </w:r>
    </w:p>
    <w:p w:rsidR="00535115" w:rsidRDefault="00D40183" w:rsidP="00BF07FE">
      <w:pPr>
        <w:spacing w:line="480" w:lineRule="auto"/>
        <w:ind w:firstLine="720"/>
        <w:contextualSpacing/>
        <w:jc w:val="center"/>
        <w:rPr>
          <w:rFonts w:ascii="Times New Roman" w:hAnsi="Times New Roman"/>
          <w:b/>
          <w:sz w:val="24"/>
          <w:szCs w:val="24"/>
        </w:rPr>
      </w:pPr>
      <w:r w:rsidRPr="00BF07FE">
        <w:rPr>
          <w:rFonts w:ascii="Times New Roman" w:hAnsi="Times New Roman"/>
          <w:b/>
          <w:sz w:val="24"/>
          <w:szCs w:val="24"/>
        </w:rPr>
        <w:t>Question 5</w:t>
      </w:r>
    </w:p>
    <w:p w:rsidR="00BF07FE" w:rsidRDefault="00D40183" w:rsidP="00BF07FE">
      <w:pPr>
        <w:spacing w:line="480" w:lineRule="auto"/>
        <w:ind w:firstLine="720"/>
        <w:contextualSpacing/>
        <w:rPr>
          <w:rFonts w:ascii="Times New Roman" w:hAnsi="Times New Roman"/>
          <w:sz w:val="24"/>
          <w:szCs w:val="24"/>
        </w:rPr>
      </w:pPr>
      <w:r>
        <w:rPr>
          <w:rFonts w:ascii="Times New Roman" w:hAnsi="Times New Roman"/>
          <w:sz w:val="24"/>
          <w:szCs w:val="24"/>
        </w:rPr>
        <w:t xml:space="preserve">The main purpose of a whistleblower protection policy is to improve confidence and faith in the culture of an organization and its management. </w:t>
      </w:r>
      <w:r w:rsidR="003A7BB4">
        <w:rPr>
          <w:rFonts w:ascii="Times New Roman" w:hAnsi="Times New Roman"/>
          <w:sz w:val="24"/>
          <w:szCs w:val="24"/>
        </w:rPr>
        <w:t xml:space="preserve">Apart from this, an effective whistleblower policy shows that an organization intends to be honest, ethical, and integral in its different dealings </w:t>
      </w:r>
      <w:r w:rsidR="002A1785">
        <w:rPr>
          <w:rFonts w:ascii="Times New Roman" w:hAnsi="Times New Roman"/>
          <w:sz w:val="24"/>
          <w:szCs w:val="24"/>
        </w:rPr>
        <w:t>(Goldman Sachs 2018)</w:t>
      </w:r>
      <w:r w:rsidR="00570A85">
        <w:rPr>
          <w:rFonts w:ascii="Times New Roman" w:hAnsi="Times New Roman"/>
          <w:sz w:val="24"/>
          <w:szCs w:val="24"/>
        </w:rPr>
        <w:t xml:space="preserve">. </w:t>
      </w:r>
      <w:r w:rsidR="00AD67EA">
        <w:rPr>
          <w:rFonts w:ascii="Times New Roman" w:hAnsi="Times New Roman"/>
          <w:sz w:val="24"/>
          <w:szCs w:val="24"/>
        </w:rPr>
        <w:t xml:space="preserve">Therefore, the policy protects whistleblowers from adversarial actions and encourages them to report any misconduct. An organization can realize several benefits from implementing an effective whistleblower protection policy including avoidance of negative media, bad publicity, and loss of customers among others. </w:t>
      </w:r>
    </w:p>
    <w:p w:rsidR="0066720D" w:rsidRDefault="00D40183" w:rsidP="00BF07FE">
      <w:pPr>
        <w:spacing w:line="480" w:lineRule="auto"/>
        <w:ind w:firstLine="720"/>
        <w:contextualSpacing/>
        <w:rPr>
          <w:rFonts w:ascii="Times New Roman" w:hAnsi="Times New Roman"/>
          <w:sz w:val="24"/>
          <w:szCs w:val="24"/>
        </w:rPr>
      </w:pPr>
      <w:r>
        <w:rPr>
          <w:rFonts w:ascii="Times New Roman" w:hAnsi="Times New Roman"/>
          <w:sz w:val="24"/>
          <w:szCs w:val="24"/>
        </w:rPr>
        <w:t xml:space="preserve">The whistleblower policy at TPAF did not protect Bloe and his fellow whistle-blowers. </w:t>
      </w:r>
      <w:r w:rsidR="00147EFB">
        <w:rPr>
          <w:rFonts w:ascii="Times New Roman" w:hAnsi="Times New Roman"/>
          <w:sz w:val="24"/>
          <w:szCs w:val="24"/>
        </w:rPr>
        <w:t xml:space="preserve">Their complaints were ignored internally by the middle-level management of the organization (Case Study 2021). </w:t>
      </w:r>
      <w:r w:rsidR="00F534CE">
        <w:rPr>
          <w:rFonts w:ascii="Times New Roman" w:hAnsi="Times New Roman"/>
          <w:sz w:val="24"/>
          <w:szCs w:val="24"/>
        </w:rPr>
        <w:t xml:space="preserve">Apart from this, ASIC failed to act on the information that was brought forward by Joe and his colleagues. </w:t>
      </w:r>
      <w:r w:rsidR="00A26F19">
        <w:rPr>
          <w:rFonts w:ascii="Times New Roman" w:hAnsi="Times New Roman"/>
          <w:sz w:val="24"/>
          <w:szCs w:val="24"/>
        </w:rPr>
        <w:t>In the end, pressure from the senior management of the organization led</w:t>
      </w:r>
      <w:r w:rsidR="00E36CD9">
        <w:rPr>
          <w:rFonts w:ascii="Times New Roman" w:hAnsi="Times New Roman"/>
          <w:sz w:val="24"/>
          <w:szCs w:val="24"/>
        </w:rPr>
        <w:t xml:space="preserve"> to the revealing of the identit</w:t>
      </w:r>
      <w:r w:rsidR="00A26F19">
        <w:rPr>
          <w:rFonts w:ascii="Times New Roman" w:hAnsi="Times New Roman"/>
          <w:sz w:val="24"/>
          <w:szCs w:val="24"/>
        </w:rPr>
        <w:t xml:space="preserve">y of Bloe and his colleagues (Case Study 2021). </w:t>
      </w:r>
      <w:r w:rsidR="00E36CD9">
        <w:rPr>
          <w:rFonts w:ascii="Times New Roman" w:hAnsi="Times New Roman"/>
          <w:sz w:val="24"/>
          <w:szCs w:val="24"/>
        </w:rPr>
        <w:t xml:space="preserve">This led to them feeling defenseless and insecure. </w:t>
      </w:r>
      <w:r w:rsidR="00F36163">
        <w:rPr>
          <w:rFonts w:ascii="Times New Roman" w:hAnsi="Times New Roman"/>
          <w:sz w:val="24"/>
          <w:szCs w:val="24"/>
        </w:rPr>
        <w:t xml:space="preserve">Further improvement can be done by educating employees on the whistleblowing policy of the organization (Goldman Sachs 2018). This can encourage employees to come forward at any time. </w:t>
      </w:r>
      <w:r w:rsidR="00C278A6">
        <w:rPr>
          <w:rFonts w:ascii="Times New Roman" w:hAnsi="Times New Roman"/>
          <w:sz w:val="24"/>
          <w:szCs w:val="24"/>
        </w:rPr>
        <w:t xml:space="preserve">Apart from this, whistleblowing should be incorporated into the culture of the organization to encourage positive behavior among employees, Further, </w:t>
      </w:r>
      <w:r w:rsidR="00EC1B85">
        <w:rPr>
          <w:rFonts w:ascii="Times New Roman" w:hAnsi="Times New Roman"/>
          <w:sz w:val="24"/>
          <w:szCs w:val="24"/>
        </w:rPr>
        <w:t xml:space="preserve">whistleblowers should be appreciated and rewarded. </w:t>
      </w:r>
    </w:p>
    <w:p w:rsidR="007A066A" w:rsidRDefault="00D40183" w:rsidP="0075710C">
      <w:pPr>
        <w:spacing w:line="480" w:lineRule="auto"/>
        <w:ind w:firstLine="720"/>
        <w:contextualSpacing/>
        <w:jc w:val="center"/>
        <w:rPr>
          <w:rFonts w:ascii="Times New Roman" w:hAnsi="Times New Roman"/>
          <w:b/>
          <w:sz w:val="24"/>
          <w:szCs w:val="24"/>
        </w:rPr>
      </w:pPr>
      <w:r w:rsidRPr="0075710C">
        <w:rPr>
          <w:rFonts w:ascii="Times New Roman" w:hAnsi="Times New Roman"/>
          <w:b/>
          <w:sz w:val="24"/>
          <w:szCs w:val="24"/>
        </w:rPr>
        <w:lastRenderedPageBreak/>
        <w:t>Question 6</w:t>
      </w:r>
    </w:p>
    <w:p w:rsidR="0075710C" w:rsidRDefault="00D40183" w:rsidP="003D6AE4">
      <w:pPr>
        <w:spacing w:line="480" w:lineRule="auto"/>
        <w:ind w:firstLine="720"/>
        <w:contextualSpacing/>
        <w:rPr>
          <w:rFonts w:ascii="Times New Roman" w:hAnsi="Times New Roman"/>
          <w:sz w:val="24"/>
          <w:szCs w:val="24"/>
        </w:rPr>
      </w:pPr>
      <w:r>
        <w:rPr>
          <w:rFonts w:ascii="Times New Roman" w:hAnsi="Times New Roman"/>
          <w:sz w:val="24"/>
          <w:szCs w:val="24"/>
        </w:rPr>
        <w:t>Organizations face various challenges in promoting ethical beh</w:t>
      </w:r>
      <w:r>
        <w:rPr>
          <w:rFonts w:ascii="Times New Roman" w:hAnsi="Times New Roman"/>
          <w:sz w:val="24"/>
          <w:szCs w:val="24"/>
        </w:rPr>
        <w:t xml:space="preserve">avior, compliance, and good governance. </w:t>
      </w:r>
      <w:r w:rsidR="00251D06">
        <w:rPr>
          <w:rFonts w:ascii="Times New Roman" w:hAnsi="Times New Roman"/>
          <w:sz w:val="24"/>
          <w:szCs w:val="24"/>
        </w:rPr>
        <w:t xml:space="preserve">While a positive code of conduct and good governance can be promoted at a company’s headquarters, it becomes a major challenge across its agencies and affiliates. </w:t>
      </w:r>
      <w:r w:rsidR="00E712CE">
        <w:rPr>
          <w:rFonts w:ascii="Times New Roman" w:hAnsi="Times New Roman"/>
          <w:sz w:val="24"/>
          <w:szCs w:val="24"/>
        </w:rPr>
        <w:t>One reason for this is the fact that a company’s headquarters is the central location for authority, ethics, policies, and power (</w:t>
      </w:r>
      <w:r w:rsidR="00E712CE" w:rsidRPr="00E712CE">
        <w:rPr>
          <w:rFonts w:ascii="Times New Roman" w:hAnsi="Times New Roman"/>
          <w:sz w:val="24"/>
          <w:szCs w:val="24"/>
        </w:rPr>
        <w:t>ASX Corporate Governance Council 2014</w:t>
      </w:r>
      <w:r w:rsidR="00E712CE">
        <w:rPr>
          <w:rFonts w:ascii="Times New Roman" w:hAnsi="Times New Roman"/>
          <w:sz w:val="24"/>
          <w:szCs w:val="24"/>
        </w:rPr>
        <w:t xml:space="preserve">). This makes it easy to create awareness </w:t>
      </w:r>
      <w:r w:rsidR="00BB2040">
        <w:rPr>
          <w:rFonts w:ascii="Times New Roman" w:hAnsi="Times New Roman"/>
          <w:sz w:val="24"/>
          <w:szCs w:val="24"/>
        </w:rPr>
        <w:t xml:space="preserve">and has control over employees and their activities. The same level of awareness and control cannot be exerted in other agencies and affiliates. </w:t>
      </w:r>
      <w:r w:rsidR="00E92631">
        <w:rPr>
          <w:rFonts w:ascii="Times New Roman" w:hAnsi="Times New Roman"/>
          <w:sz w:val="24"/>
          <w:szCs w:val="24"/>
        </w:rPr>
        <w:t>Apart from this, the geographical distribution of large companies causes disconnectedness that prevents auditing and surveillance (</w:t>
      </w:r>
      <w:r w:rsidR="00E92631" w:rsidRPr="00E92631">
        <w:rPr>
          <w:rFonts w:ascii="Times New Roman" w:hAnsi="Times New Roman"/>
          <w:sz w:val="24"/>
          <w:szCs w:val="24"/>
        </w:rPr>
        <w:t>ASX Corporate Governance Council 2014</w:t>
      </w:r>
      <w:r w:rsidR="00E92631">
        <w:rPr>
          <w:rFonts w:ascii="Times New Roman" w:hAnsi="Times New Roman"/>
          <w:sz w:val="24"/>
          <w:szCs w:val="24"/>
        </w:rPr>
        <w:t xml:space="preserve">). </w:t>
      </w:r>
      <w:r w:rsidR="006E7D31">
        <w:rPr>
          <w:rFonts w:ascii="Times New Roman" w:hAnsi="Times New Roman"/>
          <w:sz w:val="24"/>
          <w:szCs w:val="24"/>
        </w:rPr>
        <w:t xml:space="preserve">The geographical distribution also leads to the disintegration of cultures of a large organization such as TAB. This has created a culture of invisibility and a lack of transparency. </w:t>
      </w:r>
      <w:r w:rsidR="00C46F7B">
        <w:rPr>
          <w:rFonts w:ascii="Times New Roman" w:hAnsi="Times New Roman"/>
          <w:sz w:val="24"/>
          <w:szCs w:val="24"/>
        </w:rPr>
        <w:t xml:space="preserve">For example, agencies or affiliate companies can be tempted to implement policies that encourage unethical behaviors, such as in the case of TPAF. </w:t>
      </w:r>
      <w:r w:rsidR="006E7D31">
        <w:rPr>
          <w:rFonts w:ascii="Times New Roman" w:hAnsi="Times New Roman"/>
          <w:sz w:val="24"/>
          <w:szCs w:val="24"/>
        </w:rPr>
        <w:t xml:space="preserve"> </w:t>
      </w:r>
    </w:p>
    <w:p w:rsidR="005A3655" w:rsidRDefault="00D40183" w:rsidP="003416A6">
      <w:pPr>
        <w:spacing w:line="480" w:lineRule="auto"/>
        <w:ind w:firstLine="720"/>
        <w:contextualSpacing/>
        <w:jc w:val="center"/>
        <w:rPr>
          <w:rFonts w:ascii="Times New Roman" w:hAnsi="Times New Roman"/>
          <w:b/>
          <w:sz w:val="24"/>
          <w:szCs w:val="24"/>
        </w:rPr>
      </w:pPr>
      <w:r w:rsidRPr="003416A6">
        <w:rPr>
          <w:rFonts w:ascii="Times New Roman" w:hAnsi="Times New Roman"/>
          <w:b/>
          <w:sz w:val="24"/>
          <w:szCs w:val="24"/>
        </w:rPr>
        <w:t>Conclusion</w:t>
      </w:r>
    </w:p>
    <w:p w:rsidR="003416A6" w:rsidRDefault="00D40183" w:rsidP="003416A6">
      <w:pPr>
        <w:spacing w:line="480" w:lineRule="auto"/>
        <w:ind w:firstLine="720"/>
        <w:contextualSpacing/>
        <w:rPr>
          <w:rFonts w:ascii="Times New Roman" w:hAnsi="Times New Roman"/>
          <w:sz w:val="24"/>
          <w:szCs w:val="24"/>
        </w:rPr>
      </w:pPr>
      <w:r>
        <w:rPr>
          <w:rFonts w:ascii="Times New Roman" w:hAnsi="Times New Roman"/>
          <w:sz w:val="24"/>
          <w:szCs w:val="24"/>
        </w:rPr>
        <w:t>The case that has been highlighted has shown the importance of whistleblowing in preventing organizational mi</w:t>
      </w:r>
      <w:r>
        <w:rPr>
          <w:rFonts w:ascii="Times New Roman" w:hAnsi="Times New Roman"/>
          <w:sz w:val="24"/>
          <w:szCs w:val="24"/>
        </w:rPr>
        <w:t xml:space="preserve">sconduct and unethical behavior. </w:t>
      </w:r>
      <w:r w:rsidR="00106DAC">
        <w:rPr>
          <w:rFonts w:ascii="Times New Roman" w:hAnsi="Times New Roman"/>
          <w:sz w:val="24"/>
          <w:szCs w:val="24"/>
        </w:rPr>
        <w:t xml:space="preserve">Whistleblowing does not only ensure that cases of non-compliance are reported promptly, but that risks that might lead to economic and social losses are mitigated. </w:t>
      </w:r>
      <w:r w:rsidR="00BD03C6">
        <w:rPr>
          <w:rFonts w:ascii="Times New Roman" w:hAnsi="Times New Roman"/>
          <w:sz w:val="24"/>
          <w:szCs w:val="24"/>
        </w:rPr>
        <w:t xml:space="preserve">The case of TPAF has indicated the consequences of failing to address issues raised by whistleblowers. </w:t>
      </w:r>
      <w:r w:rsidR="00DB7EA7">
        <w:rPr>
          <w:rFonts w:ascii="Times New Roman" w:hAnsi="Times New Roman"/>
          <w:sz w:val="24"/>
          <w:szCs w:val="24"/>
        </w:rPr>
        <w:t xml:space="preserve">Apart from this, it has indicated that many risks can arise from the failure of an organization to implement an effective whistleblowing policy. </w:t>
      </w:r>
      <w:r w:rsidR="00123784">
        <w:rPr>
          <w:rFonts w:ascii="Times New Roman" w:hAnsi="Times New Roman"/>
          <w:sz w:val="24"/>
          <w:szCs w:val="24"/>
        </w:rPr>
        <w:t xml:space="preserve">From the analysis presented, large organizations such as TAB can manage its agencies and affiliates without engaging in non-compliance and unethical behavior. </w:t>
      </w:r>
      <w:r w:rsidR="00346019">
        <w:rPr>
          <w:rFonts w:ascii="Times New Roman" w:hAnsi="Times New Roman"/>
          <w:sz w:val="24"/>
          <w:szCs w:val="24"/>
        </w:rPr>
        <w:t xml:space="preserve">Actions that such </w:t>
      </w:r>
      <w:r w:rsidR="00346019">
        <w:rPr>
          <w:rFonts w:ascii="Times New Roman" w:hAnsi="Times New Roman"/>
          <w:sz w:val="24"/>
          <w:szCs w:val="24"/>
        </w:rPr>
        <w:lastRenderedPageBreak/>
        <w:t xml:space="preserve">companies can take include developed an effective plan for addressing risks, </w:t>
      </w:r>
      <w:r w:rsidR="00E36385">
        <w:rPr>
          <w:rFonts w:ascii="Times New Roman" w:hAnsi="Times New Roman"/>
          <w:sz w:val="24"/>
          <w:szCs w:val="24"/>
        </w:rPr>
        <w:t xml:space="preserve">developing and implementing an enterprise risk management framework, </w:t>
      </w:r>
      <w:r w:rsidR="00AE15DF">
        <w:rPr>
          <w:rFonts w:ascii="Times New Roman" w:hAnsi="Times New Roman"/>
          <w:sz w:val="24"/>
          <w:szCs w:val="24"/>
        </w:rPr>
        <w:t xml:space="preserve">implementing effective controls, and carrying out regular audits. Apart from this, large organizations should develop a positive culture to encourage positive behaviors among employees. </w:t>
      </w: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086D56" w:rsidRDefault="00086D56" w:rsidP="003416A6">
      <w:pPr>
        <w:spacing w:line="480" w:lineRule="auto"/>
        <w:ind w:firstLine="720"/>
        <w:contextualSpacing/>
        <w:rPr>
          <w:rFonts w:ascii="Times New Roman" w:hAnsi="Times New Roman"/>
          <w:sz w:val="24"/>
          <w:szCs w:val="24"/>
        </w:rPr>
      </w:pPr>
    </w:p>
    <w:p w:rsidR="004E0647" w:rsidRDefault="004E0647" w:rsidP="003416A6">
      <w:pPr>
        <w:spacing w:line="480" w:lineRule="auto"/>
        <w:ind w:firstLine="720"/>
        <w:contextualSpacing/>
        <w:rPr>
          <w:rFonts w:ascii="Times New Roman" w:hAnsi="Times New Roman"/>
          <w:sz w:val="24"/>
          <w:szCs w:val="24"/>
        </w:rPr>
      </w:pPr>
    </w:p>
    <w:p w:rsidR="004E0647" w:rsidRDefault="00D40183" w:rsidP="004A41B6">
      <w:pPr>
        <w:spacing w:line="480" w:lineRule="auto"/>
        <w:ind w:firstLine="720"/>
        <w:contextualSpacing/>
        <w:jc w:val="center"/>
        <w:rPr>
          <w:rFonts w:ascii="Times New Roman" w:hAnsi="Times New Roman"/>
          <w:sz w:val="24"/>
          <w:szCs w:val="24"/>
        </w:rPr>
      </w:pPr>
      <w:r>
        <w:rPr>
          <w:rFonts w:ascii="Times New Roman" w:hAnsi="Times New Roman"/>
          <w:sz w:val="24"/>
          <w:szCs w:val="24"/>
        </w:rPr>
        <w:lastRenderedPageBreak/>
        <w:t>References</w:t>
      </w:r>
    </w:p>
    <w:p w:rsidR="00626869" w:rsidRDefault="00D40183" w:rsidP="00626869">
      <w:pPr>
        <w:spacing w:line="480" w:lineRule="auto"/>
        <w:contextualSpacing/>
        <w:rPr>
          <w:rFonts w:ascii="Times New Roman" w:hAnsi="Times New Roman"/>
          <w:sz w:val="24"/>
          <w:szCs w:val="24"/>
        </w:rPr>
      </w:pPr>
      <w:r>
        <w:rPr>
          <w:rFonts w:ascii="Times New Roman" w:hAnsi="Times New Roman"/>
          <w:sz w:val="24"/>
          <w:szCs w:val="24"/>
        </w:rPr>
        <w:t xml:space="preserve">ASX Corporate Governance Council 2014, ‘Corporate Governance Principles and </w:t>
      </w:r>
    </w:p>
    <w:p w:rsidR="00842B61" w:rsidRDefault="00D40183" w:rsidP="00842B61">
      <w:pPr>
        <w:spacing w:line="480" w:lineRule="auto"/>
        <w:ind w:left="720"/>
        <w:contextualSpacing/>
        <w:rPr>
          <w:rFonts w:ascii="Times New Roman" w:hAnsi="Times New Roman"/>
          <w:sz w:val="24"/>
          <w:szCs w:val="24"/>
        </w:rPr>
      </w:pPr>
      <w:r>
        <w:rPr>
          <w:rFonts w:ascii="Times New Roman" w:hAnsi="Times New Roman"/>
          <w:sz w:val="24"/>
          <w:szCs w:val="24"/>
        </w:rPr>
        <w:t>Recommendations’, &lt;</w:t>
      </w:r>
      <w:r w:rsidRPr="00A01668">
        <w:rPr>
          <w:rFonts w:ascii="Times New Roman" w:hAnsi="Times New Roman"/>
          <w:sz w:val="24"/>
          <w:szCs w:val="24"/>
        </w:rPr>
        <w:t>https://www.asx.com.au/documents/asx-compliance/cgc-principles-and-recommendations-3rd-edn.pdf</w:t>
      </w:r>
      <w:r>
        <w:rPr>
          <w:rFonts w:ascii="Times New Roman" w:hAnsi="Times New Roman"/>
          <w:sz w:val="24"/>
          <w:szCs w:val="24"/>
        </w:rPr>
        <w:t>&gt; (12 Jun. 2021).</w:t>
      </w:r>
    </w:p>
    <w:p w:rsidR="00924763" w:rsidRDefault="00D40183" w:rsidP="00924763">
      <w:pPr>
        <w:spacing w:line="480" w:lineRule="auto"/>
        <w:contextualSpacing/>
        <w:rPr>
          <w:rFonts w:ascii="Times New Roman" w:hAnsi="Times New Roman"/>
          <w:sz w:val="24"/>
          <w:szCs w:val="24"/>
        </w:rPr>
      </w:pPr>
      <w:r>
        <w:rPr>
          <w:rFonts w:ascii="Times New Roman" w:hAnsi="Times New Roman"/>
          <w:sz w:val="24"/>
          <w:szCs w:val="24"/>
        </w:rPr>
        <w:t>Australian Prudential Regulation Authority 2018,</w:t>
      </w:r>
      <w:r>
        <w:rPr>
          <w:rFonts w:ascii="Times New Roman" w:hAnsi="Times New Roman"/>
          <w:sz w:val="24"/>
          <w:szCs w:val="24"/>
        </w:rPr>
        <w:t xml:space="preserve"> ‘Remuneration Practices at Large Financial </w:t>
      </w:r>
    </w:p>
    <w:p w:rsidR="004A3A7D" w:rsidRDefault="00D40183" w:rsidP="004A3A7D">
      <w:pPr>
        <w:spacing w:line="480" w:lineRule="auto"/>
        <w:ind w:left="720"/>
        <w:contextualSpacing/>
        <w:rPr>
          <w:rFonts w:ascii="Times New Roman" w:hAnsi="Times New Roman"/>
          <w:sz w:val="24"/>
          <w:szCs w:val="24"/>
        </w:rPr>
      </w:pPr>
      <w:r>
        <w:rPr>
          <w:rFonts w:ascii="Times New Roman" w:hAnsi="Times New Roman"/>
          <w:sz w:val="24"/>
          <w:szCs w:val="24"/>
        </w:rPr>
        <w:t>Institutions’, Available from &lt;</w:t>
      </w:r>
      <w:r w:rsidRPr="00924763">
        <w:rPr>
          <w:rFonts w:ascii="Times New Roman" w:hAnsi="Times New Roman"/>
          <w:sz w:val="24"/>
          <w:szCs w:val="24"/>
        </w:rPr>
        <w:t>https://www.apra.gov.au/sites/default/files/180328-Information-Paper-Remuneration-Practices.pdf</w:t>
      </w:r>
      <w:r>
        <w:rPr>
          <w:rFonts w:ascii="Times New Roman" w:hAnsi="Times New Roman"/>
          <w:sz w:val="24"/>
          <w:szCs w:val="24"/>
        </w:rPr>
        <w:t>&gt; (12 Jun. 2021).</w:t>
      </w:r>
    </w:p>
    <w:p w:rsidR="008E79EB" w:rsidRDefault="00D40183" w:rsidP="008E79EB">
      <w:pPr>
        <w:spacing w:line="480" w:lineRule="auto"/>
        <w:contextualSpacing/>
        <w:rPr>
          <w:rFonts w:ascii="Times New Roman" w:hAnsi="Times New Roman"/>
          <w:sz w:val="24"/>
          <w:szCs w:val="24"/>
        </w:rPr>
      </w:pPr>
      <w:r>
        <w:rPr>
          <w:rFonts w:ascii="Times New Roman" w:hAnsi="Times New Roman"/>
          <w:sz w:val="24"/>
          <w:szCs w:val="24"/>
        </w:rPr>
        <w:t>Eroglu, ZGK 2020, ‘</w:t>
      </w:r>
      <w:r w:rsidRPr="008E79EB">
        <w:rPr>
          <w:rFonts w:ascii="Times New Roman" w:hAnsi="Times New Roman"/>
          <w:sz w:val="24"/>
          <w:szCs w:val="24"/>
        </w:rPr>
        <w:t>Role and Effectiveness of ASIC Compared with the</w:t>
      </w:r>
      <w:r w:rsidRPr="008E79EB">
        <w:rPr>
          <w:rFonts w:ascii="Times New Roman" w:hAnsi="Times New Roman"/>
          <w:sz w:val="24"/>
          <w:szCs w:val="24"/>
        </w:rPr>
        <w:t xml:space="preserve"> SEC: Shedding Light </w:t>
      </w:r>
    </w:p>
    <w:p w:rsidR="00EF0ABD" w:rsidRDefault="00D40183" w:rsidP="00EF0ABD">
      <w:pPr>
        <w:spacing w:line="480" w:lineRule="auto"/>
        <w:ind w:left="720"/>
        <w:contextualSpacing/>
        <w:rPr>
          <w:rFonts w:ascii="Times New Roman" w:hAnsi="Times New Roman"/>
          <w:sz w:val="24"/>
          <w:szCs w:val="24"/>
        </w:rPr>
      </w:pPr>
      <w:r w:rsidRPr="008E79EB">
        <w:rPr>
          <w:rFonts w:ascii="Times New Roman" w:hAnsi="Times New Roman"/>
          <w:sz w:val="24"/>
          <w:szCs w:val="24"/>
        </w:rPr>
        <w:t>on Regulation and Enforcement in the United States and Australia</w:t>
      </w:r>
      <w:r>
        <w:rPr>
          <w:rFonts w:ascii="Times New Roman" w:hAnsi="Times New Roman"/>
          <w:sz w:val="24"/>
          <w:szCs w:val="24"/>
        </w:rPr>
        <w:t xml:space="preserve">’, </w:t>
      </w:r>
      <w:r w:rsidRPr="00EF0ABD">
        <w:rPr>
          <w:rFonts w:ascii="Times New Roman" w:hAnsi="Times New Roman"/>
          <w:i/>
          <w:sz w:val="24"/>
          <w:szCs w:val="24"/>
        </w:rPr>
        <w:t>SSRN Electronic Journal</w:t>
      </w:r>
      <w:r>
        <w:rPr>
          <w:rFonts w:ascii="Times New Roman" w:hAnsi="Times New Roman"/>
          <w:sz w:val="24"/>
          <w:szCs w:val="24"/>
        </w:rPr>
        <w:t xml:space="preserve">, </w:t>
      </w:r>
      <w:r w:rsidRPr="00EF0ABD">
        <w:rPr>
          <w:rFonts w:ascii="Times New Roman" w:hAnsi="Times New Roman"/>
          <w:sz w:val="24"/>
          <w:szCs w:val="24"/>
        </w:rPr>
        <w:t>DOI:10.2139/ssrn.3612987</w:t>
      </w:r>
    </w:p>
    <w:p w:rsidR="004A41B6" w:rsidRDefault="00D40183" w:rsidP="004A41B6">
      <w:pPr>
        <w:spacing w:line="480" w:lineRule="auto"/>
        <w:contextualSpacing/>
        <w:rPr>
          <w:rFonts w:ascii="Times New Roman" w:hAnsi="Times New Roman"/>
          <w:sz w:val="24"/>
          <w:szCs w:val="24"/>
        </w:rPr>
      </w:pPr>
      <w:r>
        <w:rPr>
          <w:rFonts w:ascii="Times New Roman" w:hAnsi="Times New Roman"/>
          <w:sz w:val="24"/>
          <w:szCs w:val="24"/>
        </w:rPr>
        <w:t xml:space="preserve">Goldman Sachs 2019, ‘Australian Whistleblower Policy ([Public)’, </w:t>
      </w:r>
      <w:r w:rsidR="00003C58">
        <w:rPr>
          <w:rFonts w:ascii="Times New Roman" w:hAnsi="Times New Roman"/>
          <w:sz w:val="24"/>
          <w:szCs w:val="24"/>
        </w:rPr>
        <w:t xml:space="preserve">Available from </w:t>
      </w:r>
    </w:p>
    <w:p w:rsidR="009F0BBB" w:rsidRDefault="00D40183" w:rsidP="009F0BBB">
      <w:pPr>
        <w:spacing w:line="480" w:lineRule="auto"/>
        <w:ind w:left="720"/>
        <w:contextualSpacing/>
        <w:rPr>
          <w:rFonts w:ascii="Times New Roman" w:hAnsi="Times New Roman"/>
          <w:sz w:val="24"/>
          <w:szCs w:val="24"/>
        </w:rPr>
      </w:pPr>
      <w:r>
        <w:rPr>
          <w:rFonts w:ascii="Times New Roman" w:hAnsi="Times New Roman"/>
          <w:sz w:val="24"/>
          <w:szCs w:val="24"/>
        </w:rPr>
        <w:t>&lt;</w:t>
      </w:r>
      <w:r w:rsidRPr="00003C58">
        <w:rPr>
          <w:rFonts w:ascii="Times New Roman" w:hAnsi="Times New Roman"/>
          <w:sz w:val="24"/>
          <w:szCs w:val="24"/>
        </w:rPr>
        <w:t>https://www.goldmansachs.com/worldwide/australia-new-zealand/australian-whistleblower-policy.pdf</w:t>
      </w:r>
      <w:r>
        <w:rPr>
          <w:rFonts w:ascii="Times New Roman" w:hAnsi="Times New Roman"/>
          <w:sz w:val="24"/>
          <w:szCs w:val="24"/>
        </w:rPr>
        <w:t>&gt; (12 Jun. 2021).</w:t>
      </w:r>
    </w:p>
    <w:p w:rsidR="00D96159" w:rsidRDefault="00D40183" w:rsidP="00D96159">
      <w:pPr>
        <w:spacing w:line="480" w:lineRule="auto"/>
        <w:contextualSpacing/>
        <w:rPr>
          <w:rFonts w:ascii="Times New Roman" w:hAnsi="Times New Roman"/>
          <w:sz w:val="24"/>
          <w:szCs w:val="24"/>
        </w:rPr>
      </w:pPr>
      <w:r>
        <w:rPr>
          <w:rFonts w:ascii="Times New Roman" w:hAnsi="Times New Roman"/>
          <w:sz w:val="24"/>
          <w:szCs w:val="24"/>
        </w:rPr>
        <w:t xml:space="preserve">Queensland Parliament 2015, ‘Role of the Media’, Available from </w:t>
      </w:r>
    </w:p>
    <w:p w:rsidR="00D43F05" w:rsidRPr="007259B5" w:rsidRDefault="00D40183" w:rsidP="00D43F05">
      <w:pPr>
        <w:spacing w:line="480" w:lineRule="auto"/>
        <w:ind w:left="720"/>
        <w:contextualSpacing/>
        <w:rPr>
          <w:rFonts w:ascii="Times New Roman" w:hAnsi="Times New Roman"/>
          <w:sz w:val="24"/>
          <w:szCs w:val="24"/>
        </w:rPr>
      </w:pPr>
      <w:r>
        <w:rPr>
          <w:rFonts w:ascii="Times New Roman" w:hAnsi="Times New Roman"/>
          <w:sz w:val="24"/>
          <w:szCs w:val="24"/>
        </w:rPr>
        <w:t>&lt;</w:t>
      </w:r>
      <w:r w:rsidRPr="00D96159">
        <w:rPr>
          <w:rFonts w:ascii="Times New Roman" w:hAnsi="Times New Roman"/>
          <w:sz w:val="24"/>
          <w:szCs w:val="24"/>
        </w:rPr>
        <w:t>https://www.parliament.qld.gov.au/documents/explore/education/factsheets/Factsheet_8.3_RoleOfTheMedia.pdf</w:t>
      </w:r>
      <w:r>
        <w:rPr>
          <w:rFonts w:ascii="Times New Roman" w:hAnsi="Times New Roman"/>
          <w:sz w:val="24"/>
          <w:szCs w:val="24"/>
        </w:rPr>
        <w:t>&gt; (12. Jun. 2021).</w:t>
      </w:r>
    </w:p>
    <w:p w:rsidR="0075710C" w:rsidRPr="0075710C" w:rsidRDefault="0075710C" w:rsidP="0075710C">
      <w:pPr>
        <w:spacing w:line="480" w:lineRule="auto"/>
        <w:ind w:firstLine="720"/>
        <w:contextualSpacing/>
        <w:rPr>
          <w:rFonts w:ascii="Times New Roman" w:hAnsi="Times New Roman"/>
          <w:sz w:val="24"/>
          <w:szCs w:val="24"/>
        </w:rPr>
      </w:pPr>
    </w:p>
    <w:sectPr w:rsidR="0075710C" w:rsidRPr="0075710C" w:rsidSect="00603E01">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183" w:rsidRDefault="00D40183">
      <w:pPr>
        <w:spacing w:after="0" w:line="240" w:lineRule="auto"/>
      </w:pPr>
      <w:r>
        <w:separator/>
      </w:r>
    </w:p>
  </w:endnote>
  <w:endnote w:type="continuationSeparator" w:id="0">
    <w:p w:rsidR="00D40183" w:rsidRDefault="00D4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183" w:rsidRDefault="00D40183">
      <w:pPr>
        <w:spacing w:after="0" w:line="240" w:lineRule="auto"/>
      </w:pPr>
      <w:r>
        <w:separator/>
      </w:r>
    </w:p>
  </w:footnote>
  <w:footnote w:type="continuationSeparator" w:id="0">
    <w:p w:rsidR="00D40183" w:rsidRDefault="00D40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3F8" w:rsidRPr="00274630" w:rsidRDefault="00D40183" w:rsidP="00603E01">
    <w:pPr>
      <w:pStyle w:val="Header"/>
      <w:spacing w:line="480" w:lineRule="auto"/>
      <w:jc w:val="right"/>
      <w:rPr>
        <w:rFonts w:ascii="Times New Roman" w:hAnsi="Times New Roman"/>
        <w:sz w:val="24"/>
        <w:szCs w:val="24"/>
      </w:rPr>
    </w:pPr>
    <w:r>
      <w:rPr>
        <w:rFonts w:ascii="Times New Roman" w:hAnsi="Times New Roman"/>
        <w:sz w:val="24"/>
        <w:szCs w:val="24"/>
      </w:rPr>
      <w:t xml:space="preserve">Case Study </w:t>
    </w:r>
    <w:r w:rsidR="008A31D6" w:rsidRPr="00274630">
      <w:rPr>
        <w:rFonts w:ascii="Times New Roman" w:hAnsi="Times New Roman"/>
        <w:sz w:val="24"/>
        <w:szCs w:val="24"/>
      </w:rPr>
      <w:fldChar w:fldCharType="begin"/>
    </w:r>
    <w:r w:rsidRPr="00274630">
      <w:rPr>
        <w:rFonts w:ascii="Times New Roman" w:hAnsi="Times New Roman"/>
        <w:sz w:val="24"/>
        <w:szCs w:val="24"/>
      </w:rPr>
      <w:instrText xml:space="preserve"> PAGE   \* MERGEFORMAT </w:instrText>
    </w:r>
    <w:r w:rsidR="008A31D6" w:rsidRPr="00274630">
      <w:rPr>
        <w:rFonts w:ascii="Times New Roman" w:hAnsi="Times New Roman"/>
        <w:sz w:val="24"/>
        <w:szCs w:val="24"/>
      </w:rPr>
      <w:fldChar w:fldCharType="separate"/>
    </w:r>
    <w:r w:rsidR="00086D56">
      <w:rPr>
        <w:rFonts w:ascii="Times New Roman" w:hAnsi="Times New Roman"/>
        <w:noProof/>
        <w:sz w:val="24"/>
        <w:szCs w:val="24"/>
      </w:rPr>
      <w:t>1</w:t>
    </w:r>
    <w:r w:rsidR="008A31D6" w:rsidRPr="00274630">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3F8" w:rsidRPr="005F7283" w:rsidRDefault="00D40183">
    <w:pPr>
      <w:pStyle w:val="Header"/>
      <w:jc w:val="right"/>
      <w:rPr>
        <w:rFonts w:ascii="Times New Roman" w:hAnsi="Times New Roman"/>
        <w:sz w:val="24"/>
        <w:szCs w:val="24"/>
      </w:rPr>
    </w:pPr>
    <w:r w:rsidRPr="005F7283">
      <w:rPr>
        <w:rFonts w:ascii="Times New Roman" w:hAnsi="Times New Roman"/>
        <w:sz w:val="24"/>
        <w:szCs w:val="24"/>
      </w:rPr>
      <w:t>Running head: THE MULT</w:t>
    </w:r>
    <w:r w:rsidRPr="005F7283">
      <w:rPr>
        <w:rFonts w:ascii="Times New Roman" w:hAnsi="Times New Roman"/>
        <w:sz w:val="24"/>
        <w:szCs w:val="24"/>
      </w:rPr>
      <w:t>ICULTURAL JOURNEY TO CULTURAL COMPETENCE</w:t>
    </w:r>
    <w:r w:rsidR="008A31D6" w:rsidRPr="005F7283">
      <w:rPr>
        <w:rFonts w:ascii="Times New Roman" w:hAnsi="Times New Roman"/>
        <w:sz w:val="24"/>
        <w:szCs w:val="24"/>
      </w:rPr>
      <w:fldChar w:fldCharType="begin"/>
    </w:r>
    <w:r w:rsidRPr="005F7283">
      <w:rPr>
        <w:rFonts w:ascii="Times New Roman" w:hAnsi="Times New Roman"/>
        <w:sz w:val="24"/>
        <w:szCs w:val="24"/>
      </w:rPr>
      <w:instrText xml:space="preserve"> PAGE   \* MERGEFORMAT </w:instrText>
    </w:r>
    <w:r w:rsidR="008A31D6" w:rsidRPr="005F7283">
      <w:rPr>
        <w:rFonts w:ascii="Times New Roman" w:hAnsi="Times New Roman"/>
        <w:sz w:val="24"/>
        <w:szCs w:val="24"/>
      </w:rPr>
      <w:fldChar w:fldCharType="separate"/>
    </w:r>
    <w:r>
      <w:rPr>
        <w:rFonts w:ascii="Times New Roman" w:hAnsi="Times New Roman"/>
        <w:noProof/>
        <w:sz w:val="24"/>
        <w:szCs w:val="24"/>
      </w:rPr>
      <w:t>1</w:t>
    </w:r>
    <w:r w:rsidR="008A31D6" w:rsidRPr="005F7283">
      <w:rPr>
        <w:rFonts w:ascii="Times New Roman" w:hAnsi="Times New Roman"/>
        <w:noProof/>
        <w:sz w:val="24"/>
        <w:szCs w:val="24"/>
      </w:rPr>
      <w:fldChar w:fldCharType="end"/>
    </w:r>
  </w:p>
  <w:p w:rsidR="002573F8" w:rsidRDefault="00257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2230D"/>
    <w:multiLevelType w:val="hybridMultilevel"/>
    <w:tmpl w:val="B5400948"/>
    <w:lvl w:ilvl="0" w:tplc="2E12C076">
      <w:start w:val="1"/>
      <w:numFmt w:val="bullet"/>
      <w:lvlText w:val=""/>
      <w:lvlJc w:val="left"/>
      <w:pPr>
        <w:ind w:left="720" w:hanging="360"/>
      </w:pPr>
      <w:rPr>
        <w:rFonts w:ascii="Symbol" w:hAnsi="Symbol" w:hint="default"/>
      </w:rPr>
    </w:lvl>
    <w:lvl w:ilvl="1" w:tplc="F32C6CEA" w:tentative="1">
      <w:start w:val="1"/>
      <w:numFmt w:val="bullet"/>
      <w:lvlText w:val="o"/>
      <w:lvlJc w:val="left"/>
      <w:pPr>
        <w:ind w:left="1440" w:hanging="360"/>
      </w:pPr>
      <w:rPr>
        <w:rFonts w:ascii="Courier New" w:hAnsi="Courier New" w:cs="Courier New" w:hint="default"/>
      </w:rPr>
    </w:lvl>
    <w:lvl w:ilvl="2" w:tplc="B6CEB43E" w:tentative="1">
      <w:start w:val="1"/>
      <w:numFmt w:val="bullet"/>
      <w:lvlText w:val=""/>
      <w:lvlJc w:val="left"/>
      <w:pPr>
        <w:ind w:left="2160" w:hanging="360"/>
      </w:pPr>
      <w:rPr>
        <w:rFonts w:ascii="Wingdings" w:hAnsi="Wingdings" w:hint="default"/>
      </w:rPr>
    </w:lvl>
    <w:lvl w:ilvl="3" w:tplc="2176289C" w:tentative="1">
      <w:start w:val="1"/>
      <w:numFmt w:val="bullet"/>
      <w:lvlText w:val=""/>
      <w:lvlJc w:val="left"/>
      <w:pPr>
        <w:ind w:left="2880" w:hanging="360"/>
      </w:pPr>
      <w:rPr>
        <w:rFonts w:ascii="Symbol" w:hAnsi="Symbol" w:hint="default"/>
      </w:rPr>
    </w:lvl>
    <w:lvl w:ilvl="4" w:tplc="41280C4C" w:tentative="1">
      <w:start w:val="1"/>
      <w:numFmt w:val="bullet"/>
      <w:lvlText w:val="o"/>
      <w:lvlJc w:val="left"/>
      <w:pPr>
        <w:ind w:left="3600" w:hanging="360"/>
      </w:pPr>
      <w:rPr>
        <w:rFonts w:ascii="Courier New" w:hAnsi="Courier New" w:cs="Courier New" w:hint="default"/>
      </w:rPr>
    </w:lvl>
    <w:lvl w:ilvl="5" w:tplc="2A78C468" w:tentative="1">
      <w:start w:val="1"/>
      <w:numFmt w:val="bullet"/>
      <w:lvlText w:val=""/>
      <w:lvlJc w:val="left"/>
      <w:pPr>
        <w:ind w:left="4320" w:hanging="360"/>
      </w:pPr>
      <w:rPr>
        <w:rFonts w:ascii="Wingdings" w:hAnsi="Wingdings" w:hint="default"/>
      </w:rPr>
    </w:lvl>
    <w:lvl w:ilvl="6" w:tplc="6B58836C" w:tentative="1">
      <w:start w:val="1"/>
      <w:numFmt w:val="bullet"/>
      <w:lvlText w:val=""/>
      <w:lvlJc w:val="left"/>
      <w:pPr>
        <w:ind w:left="5040" w:hanging="360"/>
      </w:pPr>
      <w:rPr>
        <w:rFonts w:ascii="Symbol" w:hAnsi="Symbol" w:hint="default"/>
      </w:rPr>
    </w:lvl>
    <w:lvl w:ilvl="7" w:tplc="5424731A" w:tentative="1">
      <w:start w:val="1"/>
      <w:numFmt w:val="bullet"/>
      <w:lvlText w:val="o"/>
      <w:lvlJc w:val="left"/>
      <w:pPr>
        <w:ind w:left="5760" w:hanging="360"/>
      </w:pPr>
      <w:rPr>
        <w:rFonts w:ascii="Courier New" w:hAnsi="Courier New" w:cs="Courier New" w:hint="default"/>
      </w:rPr>
    </w:lvl>
    <w:lvl w:ilvl="8" w:tplc="304E843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30"/>
    <w:rsid w:val="00003C58"/>
    <w:rsid w:val="00006B49"/>
    <w:rsid w:val="00010131"/>
    <w:rsid w:val="00015B5A"/>
    <w:rsid w:val="00016BA7"/>
    <w:rsid w:val="00022C9E"/>
    <w:rsid w:val="00022DA2"/>
    <w:rsid w:val="00044D04"/>
    <w:rsid w:val="0006511F"/>
    <w:rsid w:val="0007108B"/>
    <w:rsid w:val="0007331F"/>
    <w:rsid w:val="00076862"/>
    <w:rsid w:val="00086D56"/>
    <w:rsid w:val="00092F69"/>
    <w:rsid w:val="000B1151"/>
    <w:rsid w:val="000E7BA0"/>
    <w:rsid w:val="000F3475"/>
    <w:rsid w:val="00106DAC"/>
    <w:rsid w:val="0011342D"/>
    <w:rsid w:val="00123784"/>
    <w:rsid w:val="00147EFB"/>
    <w:rsid w:val="00157359"/>
    <w:rsid w:val="00166A5B"/>
    <w:rsid w:val="0017488A"/>
    <w:rsid w:val="001758F0"/>
    <w:rsid w:val="00190EA9"/>
    <w:rsid w:val="001A01C7"/>
    <w:rsid w:val="001A1763"/>
    <w:rsid w:val="001A2D06"/>
    <w:rsid w:val="001A44F3"/>
    <w:rsid w:val="001A6860"/>
    <w:rsid w:val="001B6BDB"/>
    <w:rsid w:val="001C1A97"/>
    <w:rsid w:val="001D66F0"/>
    <w:rsid w:val="001D698E"/>
    <w:rsid w:val="001E27E2"/>
    <w:rsid w:val="001F0FCE"/>
    <w:rsid w:val="00200A8A"/>
    <w:rsid w:val="00201B7F"/>
    <w:rsid w:val="00242B05"/>
    <w:rsid w:val="00250C86"/>
    <w:rsid w:val="00251D06"/>
    <w:rsid w:val="0025272F"/>
    <w:rsid w:val="002555B5"/>
    <w:rsid w:val="002573F8"/>
    <w:rsid w:val="0026379C"/>
    <w:rsid w:val="00274187"/>
    <w:rsid w:val="00274630"/>
    <w:rsid w:val="00282D2B"/>
    <w:rsid w:val="00283D93"/>
    <w:rsid w:val="00285DEE"/>
    <w:rsid w:val="00286E02"/>
    <w:rsid w:val="002905F6"/>
    <w:rsid w:val="002A1785"/>
    <w:rsid w:val="002B0622"/>
    <w:rsid w:val="002B1D78"/>
    <w:rsid w:val="002B2B84"/>
    <w:rsid w:val="002B57D8"/>
    <w:rsid w:val="002B5AA6"/>
    <w:rsid w:val="002B6BCF"/>
    <w:rsid w:val="002B7123"/>
    <w:rsid w:val="002C4542"/>
    <w:rsid w:val="002D2204"/>
    <w:rsid w:val="002D3A7F"/>
    <w:rsid w:val="002F0BF9"/>
    <w:rsid w:val="00300D4C"/>
    <w:rsid w:val="003028E5"/>
    <w:rsid w:val="00303CE6"/>
    <w:rsid w:val="00307365"/>
    <w:rsid w:val="00312652"/>
    <w:rsid w:val="003148E4"/>
    <w:rsid w:val="00314B8F"/>
    <w:rsid w:val="00315FC4"/>
    <w:rsid w:val="00326857"/>
    <w:rsid w:val="0033053C"/>
    <w:rsid w:val="003416A6"/>
    <w:rsid w:val="00341D3A"/>
    <w:rsid w:val="00346019"/>
    <w:rsid w:val="00352995"/>
    <w:rsid w:val="00365738"/>
    <w:rsid w:val="003722E9"/>
    <w:rsid w:val="0037271A"/>
    <w:rsid w:val="0038210D"/>
    <w:rsid w:val="00396BAB"/>
    <w:rsid w:val="003A7BB4"/>
    <w:rsid w:val="003C181C"/>
    <w:rsid w:val="003D1F5E"/>
    <w:rsid w:val="003D202F"/>
    <w:rsid w:val="003D6AE4"/>
    <w:rsid w:val="003E6CCB"/>
    <w:rsid w:val="003F2575"/>
    <w:rsid w:val="00407D9F"/>
    <w:rsid w:val="00413774"/>
    <w:rsid w:val="0041510A"/>
    <w:rsid w:val="00417D0B"/>
    <w:rsid w:val="00432BE0"/>
    <w:rsid w:val="00435156"/>
    <w:rsid w:val="00441AFD"/>
    <w:rsid w:val="00450194"/>
    <w:rsid w:val="0045261E"/>
    <w:rsid w:val="00461788"/>
    <w:rsid w:val="004709AE"/>
    <w:rsid w:val="004A0E5B"/>
    <w:rsid w:val="004A3517"/>
    <w:rsid w:val="004A3A7D"/>
    <w:rsid w:val="004A41B6"/>
    <w:rsid w:val="004B02E2"/>
    <w:rsid w:val="004B14DF"/>
    <w:rsid w:val="004B5F19"/>
    <w:rsid w:val="004C3816"/>
    <w:rsid w:val="004D324A"/>
    <w:rsid w:val="004D3935"/>
    <w:rsid w:val="004E0647"/>
    <w:rsid w:val="004E4E04"/>
    <w:rsid w:val="00500932"/>
    <w:rsid w:val="00504632"/>
    <w:rsid w:val="00517B7D"/>
    <w:rsid w:val="00520EC9"/>
    <w:rsid w:val="00527088"/>
    <w:rsid w:val="0053029B"/>
    <w:rsid w:val="00533D72"/>
    <w:rsid w:val="00535115"/>
    <w:rsid w:val="00544ABB"/>
    <w:rsid w:val="00552337"/>
    <w:rsid w:val="00552473"/>
    <w:rsid w:val="00555338"/>
    <w:rsid w:val="00570A85"/>
    <w:rsid w:val="00573467"/>
    <w:rsid w:val="00576A27"/>
    <w:rsid w:val="00580D1C"/>
    <w:rsid w:val="005A3655"/>
    <w:rsid w:val="005A6D8C"/>
    <w:rsid w:val="005B2FE2"/>
    <w:rsid w:val="005B3529"/>
    <w:rsid w:val="005B7BE9"/>
    <w:rsid w:val="005C7F39"/>
    <w:rsid w:val="005D6F8E"/>
    <w:rsid w:val="005E2E43"/>
    <w:rsid w:val="005E40C9"/>
    <w:rsid w:val="005E4CB2"/>
    <w:rsid w:val="005E5151"/>
    <w:rsid w:val="005F4B82"/>
    <w:rsid w:val="005F4C74"/>
    <w:rsid w:val="005F6B1D"/>
    <w:rsid w:val="005F7283"/>
    <w:rsid w:val="00603E01"/>
    <w:rsid w:val="00605262"/>
    <w:rsid w:val="00607554"/>
    <w:rsid w:val="00612CE0"/>
    <w:rsid w:val="0062334E"/>
    <w:rsid w:val="00626869"/>
    <w:rsid w:val="00630915"/>
    <w:rsid w:val="00630CA3"/>
    <w:rsid w:val="006376FA"/>
    <w:rsid w:val="0064369A"/>
    <w:rsid w:val="00643A14"/>
    <w:rsid w:val="00656C1B"/>
    <w:rsid w:val="00660999"/>
    <w:rsid w:val="00664059"/>
    <w:rsid w:val="0066720D"/>
    <w:rsid w:val="00673260"/>
    <w:rsid w:val="00686315"/>
    <w:rsid w:val="006A258F"/>
    <w:rsid w:val="006A3B71"/>
    <w:rsid w:val="006C22C4"/>
    <w:rsid w:val="006C2F35"/>
    <w:rsid w:val="006D1130"/>
    <w:rsid w:val="006D242F"/>
    <w:rsid w:val="006E617F"/>
    <w:rsid w:val="006E7D31"/>
    <w:rsid w:val="006F5002"/>
    <w:rsid w:val="007006BC"/>
    <w:rsid w:val="0071290D"/>
    <w:rsid w:val="007165D1"/>
    <w:rsid w:val="007205B9"/>
    <w:rsid w:val="007259B5"/>
    <w:rsid w:val="00730422"/>
    <w:rsid w:val="00731834"/>
    <w:rsid w:val="00732EEE"/>
    <w:rsid w:val="00735150"/>
    <w:rsid w:val="0073523A"/>
    <w:rsid w:val="0074268C"/>
    <w:rsid w:val="0075661A"/>
    <w:rsid w:val="0075710C"/>
    <w:rsid w:val="007648CA"/>
    <w:rsid w:val="00783F18"/>
    <w:rsid w:val="00786673"/>
    <w:rsid w:val="00786D49"/>
    <w:rsid w:val="00786F2F"/>
    <w:rsid w:val="007914C5"/>
    <w:rsid w:val="007A066A"/>
    <w:rsid w:val="007A6A34"/>
    <w:rsid w:val="007D46E7"/>
    <w:rsid w:val="007D5EA9"/>
    <w:rsid w:val="007F60CB"/>
    <w:rsid w:val="008159D8"/>
    <w:rsid w:val="0082086F"/>
    <w:rsid w:val="00823D98"/>
    <w:rsid w:val="00832ED2"/>
    <w:rsid w:val="00842B61"/>
    <w:rsid w:val="008607D8"/>
    <w:rsid w:val="0086737C"/>
    <w:rsid w:val="008832E4"/>
    <w:rsid w:val="00883EC1"/>
    <w:rsid w:val="00896991"/>
    <w:rsid w:val="008A31D6"/>
    <w:rsid w:val="008C0825"/>
    <w:rsid w:val="008C3F27"/>
    <w:rsid w:val="008D3931"/>
    <w:rsid w:val="008E4125"/>
    <w:rsid w:val="008E79EB"/>
    <w:rsid w:val="00906A71"/>
    <w:rsid w:val="009200F2"/>
    <w:rsid w:val="00924763"/>
    <w:rsid w:val="00936330"/>
    <w:rsid w:val="0095515A"/>
    <w:rsid w:val="009552E0"/>
    <w:rsid w:val="00956556"/>
    <w:rsid w:val="009577FF"/>
    <w:rsid w:val="0096766F"/>
    <w:rsid w:val="00967F41"/>
    <w:rsid w:val="00970E81"/>
    <w:rsid w:val="0097576C"/>
    <w:rsid w:val="00986F54"/>
    <w:rsid w:val="0099163B"/>
    <w:rsid w:val="009D0D2C"/>
    <w:rsid w:val="009D22B7"/>
    <w:rsid w:val="009F0701"/>
    <w:rsid w:val="009F0BBB"/>
    <w:rsid w:val="009F1306"/>
    <w:rsid w:val="009F4CCC"/>
    <w:rsid w:val="009F5AB6"/>
    <w:rsid w:val="009F67B5"/>
    <w:rsid w:val="00A01668"/>
    <w:rsid w:val="00A01AEC"/>
    <w:rsid w:val="00A169FF"/>
    <w:rsid w:val="00A26F19"/>
    <w:rsid w:val="00A31469"/>
    <w:rsid w:val="00A41BE7"/>
    <w:rsid w:val="00A42BF0"/>
    <w:rsid w:val="00A611EE"/>
    <w:rsid w:val="00A65408"/>
    <w:rsid w:val="00A657C5"/>
    <w:rsid w:val="00A6658A"/>
    <w:rsid w:val="00A70C3C"/>
    <w:rsid w:val="00A9003B"/>
    <w:rsid w:val="00A92485"/>
    <w:rsid w:val="00A948F1"/>
    <w:rsid w:val="00AB08BB"/>
    <w:rsid w:val="00AB70C6"/>
    <w:rsid w:val="00AC7BDE"/>
    <w:rsid w:val="00AD67EA"/>
    <w:rsid w:val="00AD711F"/>
    <w:rsid w:val="00AE08FE"/>
    <w:rsid w:val="00AE15DF"/>
    <w:rsid w:val="00B03FC8"/>
    <w:rsid w:val="00B04858"/>
    <w:rsid w:val="00B07B2C"/>
    <w:rsid w:val="00B12927"/>
    <w:rsid w:val="00B27501"/>
    <w:rsid w:val="00B32087"/>
    <w:rsid w:val="00B7262E"/>
    <w:rsid w:val="00B73EA2"/>
    <w:rsid w:val="00BA0712"/>
    <w:rsid w:val="00BA2D36"/>
    <w:rsid w:val="00BB2040"/>
    <w:rsid w:val="00BB67ED"/>
    <w:rsid w:val="00BC17FD"/>
    <w:rsid w:val="00BD03C6"/>
    <w:rsid w:val="00BD1A0B"/>
    <w:rsid w:val="00BD368C"/>
    <w:rsid w:val="00BD7BFC"/>
    <w:rsid w:val="00BE0383"/>
    <w:rsid w:val="00BE0431"/>
    <w:rsid w:val="00BF07FE"/>
    <w:rsid w:val="00BF194B"/>
    <w:rsid w:val="00BF2B31"/>
    <w:rsid w:val="00BF3303"/>
    <w:rsid w:val="00C20109"/>
    <w:rsid w:val="00C25585"/>
    <w:rsid w:val="00C278A6"/>
    <w:rsid w:val="00C3492A"/>
    <w:rsid w:val="00C44D6E"/>
    <w:rsid w:val="00C46F7B"/>
    <w:rsid w:val="00C47B13"/>
    <w:rsid w:val="00C47E60"/>
    <w:rsid w:val="00C7129B"/>
    <w:rsid w:val="00C73183"/>
    <w:rsid w:val="00C745B3"/>
    <w:rsid w:val="00C84DBF"/>
    <w:rsid w:val="00C936D3"/>
    <w:rsid w:val="00C969F1"/>
    <w:rsid w:val="00C971D1"/>
    <w:rsid w:val="00CA3586"/>
    <w:rsid w:val="00CA422B"/>
    <w:rsid w:val="00CC06D3"/>
    <w:rsid w:val="00CE0A18"/>
    <w:rsid w:val="00CE6972"/>
    <w:rsid w:val="00CF7569"/>
    <w:rsid w:val="00D00867"/>
    <w:rsid w:val="00D07872"/>
    <w:rsid w:val="00D07E1A"/>
    <w:rsid w:val="00D22801"/>
    <w:rsid w:val="00D26317"/>
    <w:rsid w:val="00D36D0D"/>
    <w:rsid w:val="00D40183"/>
    <w:rsid w:val="00D4233F"/>
    <w:rsid w:val="00D43F05"/>
    <w:rsid w:val="00D44BED"/>
    <w:rsid w:val="00D57E66"/>
    <w:rsid w:val="00D60776"/>
    <w:rsid w:val="00D64D2B"/>
    <w:rsid w:val="00D66913"/>
    <w:rsid w:val="00D90EEC"/>
    <w:rsid w:val="00D929EE"/>
    <w:rsid w:val="00D96159"/>
    <w:rsid w:val="00D96C0F"/>
    <w:rsid w:val="00DA46F0"/>
    <w:rsid w:val="00DB2727"/>
    <w:rsid w:val="00DB7EA7"/>
    <w:rsid w:val="00DC260F"/>
    <w:rsid w:val="00DC63BD"/>
    <w:rsid w:val="00DE5231"/>
    <w:rsid w:val="00DE7081"/>
    <w:rsid w:val="00DF6CA9"/>
    <w:rsid w:val="00E15A21"/>
    <w:rsid w:val="00E2486E"/>
    <w:rsid w:val="00E36385"/>
    <w:rsid w:val="00E36CD9"/>
    <w:rsid w:val="00E40564"/>
    <w:rsid w:val="00E40B46"/>
    <w:rsid w:val="00E57C61"/>
    <w:rsid w:val="00E60F40"/>
    <w:rsid w:val="00E70FC3"/>
    <w:rsid w:val="00E712CE"/>
    <w:rsid w:val="00E73A08"/>
    <w:rsid w:val="00E774A6"/>
    <w:rsid w:val="00E905B7"/>
    <w:rsid w:val="00E90CC4"/>
    <w:rsid w:val="00E92631"/>
    <w:rsid w:val="00E92AE0"/>
    <w:rsid w:val="00E93538"/>
    <w:rsid w:val="00EB455E"/>
    <w:rsid w:val="00EB54F5"/>
    <w:rsid w:val="00EB6789"/>
    <w:rsid w:val="00EC1B85"/>
    <w:rsid w:val="00EE2EAD"/>
    <w:rsid w:val="00EF0ABD"/>
    <w:rsid w:val="00EF3C5A"/>
    <w:rsid w:val="00F0076F"/>
    <w:rsid w:val="00F170B5"/>
    <w:rsid w:val="00F3008E"/>
    <w:rsid w:val="00F32FF4"/>
    <w:rsid w:val="00F36163"/>
    <w:rsid w:val="00F534CE"/>
    <w:rsid w:val="00F67F86"/>
    <w:rsid w:val="00F70BC5"/>
    <w:rsid w:val="00F7370B"/>
    <w:rsid w:val="00F74CC1"/>
    <w:rsid w:val="00F76E11"/>
    <w:rsid w:val="00F817E2"/>
    <w:rsid w:val="00F83742"/>
    <w:rsid w:val="00F85D26"/>
    <w:rsid w:val="00F95ACE"/>
    <w:rsid w:val="00F96369"/>
    <w:rsid w:val="00FA2FC3"/>
    <w:rsid w:val="00FA65B9"/>
    <w:rsid w:val="00FB060F"/>
    <w:rsid w:val="00FC5512"/>
    <w:rsid w:val="00FC6BBA"/>
    <w:rsid w:val="00FF7E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1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283"/>
  </w:style>
  <w:style w:type="paragraph" w:styleId="Footer">
    <w:name w:val="footer"/>
    <w:basedOn w:val="Normal"/>
    <w:link w:val="FooterChar"/>
    <w:uiPriority w:val="99"/>
    <w:unhideWhenUsed/>
    <w:rsid w:val="005F7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283"/>
  </w:style>
  <w:style w:type="paragraph" w:styleId="NormalWeb">
    <w:name w:val="Normal (Web)"/>
    <w:basedOn w:val="Normal"/>
    <w:uiPriority w:val="99"/>
    <w:semiHidden/>
    <w:unhideWhenUsed/>
    <w:rsid w:val="0081309E"/>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rsid w:val="00805BCE"/>
    <w:rPr>
      <w:sz w:val="16"/>
      <w:szCs w:val="16"/>
    </w:rPr>
  </w:style>
  <w:style w:type="paragraph" w:styleId="CommentText">
    <w:name w:val="annotation text"/>
    <w:basedOn w:val="Normal"/>
    <w:link w:val="CommentTextChar"/>
    <w:uiPriority w:val="99"/>
    <w:semiHidden/>
    <w:unhideWhenUsed/>
    <w:rsid w:val="00BD70A2"/>
    <w:pPr>
      <w:spacing w:line="240" w:lineRule="auto"/>
    </w:pPr>
    <w:rPr>
      <w:sz w:val="20"/>
      <w:szCs w:val="20"/>
    </w:rPr>
  </w:style>
  <w:style w:type="character" w:customStyle="1" w:styleId="CommentTextChar">
    <w:name w:val="Comment Text Char"/>
    <w:link w:val="CommentText"/>
    <w:uiPriority w:val="99"/>
    <w:semiHidden/>
    <w:rsid w:val="00BD70A2"/>
    <w:rPr>
      <w:sz w:val="20"/>
      <w:szCs w:val="20"/>
    </w:rPr>
  </w:style>
  <w:style w:type="paragraph" w:styleId="BalloonText">
    <w:name w:val="Balloon Text"/>
    <w:basedOn w:val="Normal"/>
    <w:link w:val="BalloonTextChar"/>
    <w:uiPriority w:val="99"/>
    <w:semiHidden/>
    <w:unhideWhenUsed/>
    <w:rsid w:val="00147C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7C7D"/>
    <w:rPr>
      <w:rFonts w:ascii="Tahoma" w:hAnsi="Tahoma" w:cs="Tahoma"/>
      <w:sz w:val="16"/>
      <w:szCs w:val="16"/>
    </w:rPr>
  </w:style>
  <w:style w:type="character" w:styleId="Hyperlink">
    <w:name w:val="Hyperlink"/>
    <w:uiPriority w:val="99"/>
    <w:unhideWhenUsed/>
    <w:rsid w:val="00C236E4"/>
    <w:rPr>
      <w:color w:val="0563C1"/>
      <w:u w:val="single"/>
    </w:rPr>
  </w:style>
  <w:style w:type="paragraph" w:styleId="ListParagraph">
    <w:name w:val="List Paragraph"/>
    <w:basedOn w:val="Normal"/>
    <w:uiPriority w:val="34"/>
    <w:qFormat/>
    <w:rsid w:val="00957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91B1-72DE-4A97-A45E-6BDC41CC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2021-06-12T07:51:00Z</dcterms:created>
  <dcterms:modified xsi:type="dcterms:W3CDTF">2021-06-12T07:51:00Z</dcterms:modified>
</cp:coreProperties>
</file>